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963C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963C0" w:rsidRDefault="00A3345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963C0" w:rsidRDefault="00A33458">
            <w:pPr>
              <w:spacing w:after="0" w:line="240" w:lineRule="auto"/>
            </w:pPr>
            <w:r>
              <w:t>42741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963C0" w:rsidRDefault="00A3345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963C0" w:rsidRDefault="00A33458">
            <w:pPr>
              <w:spacing w:after="0" w:line="240" w:lineRule="auto"/>
            </w:pPr>
            <w:r>
              <w:t>OPĆINA LOPAR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963C0" w:rsidRDefault="00A3345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963C0" w:rsidRDefault="00A33458">
            <w:pPr>
              <w:spacing w:after="0" w:line="240" w:lineRule="auto"/>
            </w:pPr>
            <w:r>
              <w:t>22</w:t>
            </w:r>
          </w:p>
        </w:tc>
      </w:tr>
    </w:tbl>
    <w:p w:rsidR="00C963C0" w:rsidRDefault="00A33458">
      <w:r>
        <w:br/>
      </w:r>
    </w:p>
    <w:p w:rsidR="00C963C0" w:rsidRDefault="00A3345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963C0" w:rsidRDefault="00A3345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963C0" w:rsidRDefault="00A3345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2.988.663,70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2.989.079,97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1.882.560,86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2.370.327,70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1.106.102,84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618.752,27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55,9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1.088.551,83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2.120.854,53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194,8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958.534,16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2.010.144,31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209,7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</w:t>
            </w:r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740.628,88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650.763,16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>Ukupni prihodi poslovanja u izvještajnom razdoblju od 01. siječnja do 31. prosinca 2025. godine iskazani su u iznosu od =2,989.079,97 EUR. Povećanje prihoda ostvareno je na prihodima od poreza na dohodak, zbog povećanja plaća obveznika uplate poreza na doh</w:t>
      </w:r>
      <w:r>
        <w:t>odak i povećanja paušalnog iznosa poreza na dohodak od iznajmljivanja soba i postelja. Povećanje je iskazano i na kapitalnim pomoćima za izgradnju dječjeg vrtića, na prihodima od zakupa imovine.</w:t>
      </w:r>
    </w:p>
    <w:p w:rsidR="00C963C0" w:rsidRDefault="00A33458">
      <w:pPr>
        <w:jc w:val="both"/>
      </w:pPr>
      <w:r>
        <w:lastRenderedPageBreak/>
        <w:t>Ukupni rashodi poslovanja u izvještajnom razdoblju od 01. sij</w:t>
      </w:r>
      <w:r>
        <w:t>ečnja do 31. prosinca 2025. godine iskazani su u iznosu od =2,370.327,70 EUR. Povećanje rashoda iskazano je na rashodima za zaposlene zbog povećanja osnovice za obračun plaća i većeg broja službenika. Ostvareno je i povećanje materijalnih rashoda, financij</w:t>
      </w:r>
      <w:r>
        <w:t>skih rashoda, rashoda za pomoći (povećanje ekonomske cijene dječjeg vrtića), naknade građanima i kućanstvima (veći rashodi za prigodne nagrade umirovljenicima), rashoda za donacije i kapitalne pomoći. Iskazan je višak prihoda poslovanja u iznosu od =618.75</w:t>
      </w:r>
      <w:r>
        <w:t>2,27 EUR.  </w:t>
      </w:r>
    </w:p>
    <w:p w:rsidR="00C963C0" w:rsidRDefault="00A33458">
      <w:pPr>
        <w:jc w:val="both"/>
      </w:pPr>
      <w:r>
        <w:t>Ukupni prihodi od prodaje nefinancijske imovine u izvještajnom razdoblju od 01. siječnja do 31. prosinca 2025. godine iskazani su u iznosu od =110.710,22 EUR.  Ovi prihodi odnose se na prodaju nekretnina (zemljišta).</w:t>
      </w:r>
    </w:p>
    <w:p w:rsidR="00C963C0" w:rsidRDefault="00A33458">
      <w:pPr>
        <w:jc w:val="both"/>
      </w:pPr>
      <w:r>
        <w:t>Ukupni rashodi za nabavu ne</w:t>
      </w:r>
      <w:r>
        <w:t xml:space="preserve">financijske imovine u izvještajnom razdoblju od 01. siječnja do 31. prosinca 2025. godine iskazani su u iznosu od =2,120.854,53 EUR.  Značajno povećanje ovih rashoda u odnosu na prethodnu godinu je zbog radova na izgradnji dječjeg vrtića, izgradnji ceste </w:t>
      </w:r>
      <w:proofErr w:type="spellStart"/>
      <w:r>
        <w:t>M</w:t>
      </w:r>
      <w:r>
        <w:t>elak</w:t>
      </w:r>
      <w:proofErr w:type="spellEnd"/>
      <w:r>
        <w:t xml:space="preserve"> - Groblje, sanaciju šetnica. Iskazan je manjak prihoda od nefinancijske imovine u iznosu od =2,010.144,31 EUR.  </w:t>
      </w:r>
    </w:p>
    <w:p w:rsidR="00C963C0" w:rsidRDefault="00A33458">
      <w:pPr>
        <w:jc w:val="both"/>
      </w:pPr>
      <w:r>
        <w:t>Ukupni primici od financijske imovine i zaduživanja u izvještajnom razdoblju od 01. siječnja do 31. prosinca 2025. godine iskazani su u iz</w:t>
      </w:r>
      <w:r>
        <w:t>nosu od =806.990,28 EUR.  Ovi primici odnose se na realizirani dio kredita za izgradnju dječjeg vrtića u iznosu od =806.990,28 EUR. Ugovor o dugoročnom kreditu potpisan je na iznos os =1,828.495,88 EUR.</w:t>
      </w:r>
    </w:p>
    <w:p w:rsidR="00C963C0" w:rsidRDefault="00A33458">
      <w:pPr>
        <w:jc w:val="both"/>
      </w:pPr>
      <w:r>
        <w:t>Ukupni izdaci za financijsku imovinu i otplate zajmov</w:t>
      </w:r>
      <w:r>
        <w:t>a u izvještajnom razdoblju od 01. siječnja do 31. prosinca 2025. godine iskazani su u iznosu od =66.361,40 EUR.  Ovi izdaci odnose se na otplatu 2 glavnice dugoročnog kredita za II. fazu izgradnje sportske dvorane. Iskazan je višak od financijske imovine i</w:t>
      </w:r>
      <w:r>
        <w:t xml:space="preserve"> zaduživanja u iznosu od =740.628,88 EUR.  </w:t>
      </w:r>
    </w:p>
    <w:p w:rsidR="00C963C0" w:rsidRDefault="00A33458">
      <w:pPr>
        <w:jc w:val="both"/>
      </w:pPr>
      <w:r>
        <w:t>Manjak prihoda i primitaka iskazan je u iznosu od =650.763,16 EUR što s prenesenim viškom iz prethodne godine u iznosu od =609.374,71 EUR daje manjak prihoda i primitaka na dan 31. prosinca 2025. godine za pokrić</w:t>
      </w:r>
      <w:r>
        <w:t>e u sljedećem razdoblju u iznosu od =41.388,45 EUR.  </w:t>
      </w:r>
    </w:p>
    <w:p w:rsidR="00C963C0" w:rsidRDefault="00A33458">
      <w:pPr>
        <w:jc w:val="both"/>
      </w:pPr>
      <w:r>
        <w:t>Razlozi za  iskazani manjak prihoda i primitaka u izvještajnom razdoblju u iznosu od =650.763,16 EUR:  </w:t>
      </w:r>
    </w:p>
    <w:p w:rsidR="00C963C0" w:rsidRDefault="00A33458">
      <w:pPr>
        <w:jc w:val="both"/>
      </w:pPr>
      <w:r>
        <w:t xml:space="preserve">-Općina </w:t>
      </w:r>
      <w:proofErr w:type="spellStart"/>
      <w:r>
        <w:t>Lopar</w:t>
      </w:r>
      <w:proofErr w:type="spellEnd"/>
      <w:r>
        <w:t xml:space="preserve"> imala je velike rashode za izgradnju dječjeg vrtića, ceste </w:t>
      </w:r>
      <w:proofErr w:type="spellStart"/>
      <w:r>
        <w:t>Melak</w:t>
      </w:r>
      <w:proofErr w:type="spellEnd"/>
      <w:r>
        <w:t xml:space="preserve"> - Groblje i ostale </w:t>
      </w:r>
      <w:r>
        <w:t xml:space="preserve">investicije, u mjesecu srpnju, pa nadalje izdana su rješenja za novouvedeni porez na nekretnine koji iznosi 5,00 EUR/m2, a koji zamjenjuje porez na kuće za odmor, manji su prihodi od poreza na promet nekretnina, veći su rashodi za zaposlene, investicijsko </w:t>
      </w:r>
      <w:r>
        <w:t>održavanje, čišćenje plaža, uređenje mjesta, održavanje nerazvrstanih cesta, javnih površina i sl. Sve obveze prema djelatnicima, naknade vijećnicima, političkim strankama, obveze za socijalu, obveze prema korisnicima javnih potreba, obveze po zahtjevima p</w:t>
      </w:r>
      <w:r>
        <w:t xml:space="preserve">roračunskog korisnika i dr., podmiruju se redovito i u zadanim rokovima plaćanja. Općina </w:t>
      </w:r>
      <w:proofErr w:type="spellStart"/>
      <w:r>
        <w:t>Lopar</w:t>
      </w:r>
      <w:proofErr w:type="spellEnd"/>
      <w:r>
        <w:t xml:space="preserve"> se i dalje obvezuje da će provoditi mjere (opomene, ovrhe) za što bolju naplatu prihoda i realno planiranje neophodnih rashoda i izdataka.</w:t>
      </w:r>
    </w:p>
    <w:p w:rsidR="00C963C0" w:rsidRDefault="00A33458">
      <w:pPr>
        <w:jc w:val="both"/>
      </w:pPr>
      <w:r>
        <w:t> </w:t>
      </w:r>
    </w:p>
    <w:p w:rsidR="00C963C0" w:rsidRDefault="00A33458">
      <w:pPr>
        <w:jc w:val="both"/>
      </w:pPr>
      <w:r>
        <w:t> </w:t>
      </w:r>
    </w:p>
    <w:p w:rsidR="00C963C0" w:rsidRDefault="00A33458">
      <w:r>
        <w:t>Bilješka 2.</w:t>
      </w:r>
    </w:p>
    <w:p w:rsidR="00C963C0" w:rsidRDefault="00A33458">
      <w:r>
        <w:lastRenderedPageBreak/>
        <w:br/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2.988.663,70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2.989.079,97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Ukupni prihodi poslovanja za razdoblje od 01. siječnja do 31. prosinca 2025. godine iznose =2,989.079,97 EUR i gotovo su identični u odnosu na isto prošlogodišnje razdoblje.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756.182,09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951.392,03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Povećanje za 25,8% u odnosu na prošlogodišnje razdoblje zbog povećanja bruto plaća obveznika, a samim time i poreza na dohodak od nesamostalnog rada.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176.998,84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302.071,92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Povećanje poreza na dohodak od imovine i imovinskih prava za =125.073,08 EUR u odnosu na prošlu godinu rezultat je povećanja paušalnog iznosa poreza na dohodak po smještajnoj jedinici (krevetu) za iznajmljivače od =50,00 EUR u prošloj godini na =101,00 EUR</w:t>
      </w:r>
      <w:r>
        <w:t xml:space="preserve"> od 01. siječnja 2025. godine.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57.604,81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64.681,22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Iznos od =64.681,22 EUR odnosi se na porez na potrošnju alkoholnih i bezalkoholnih pića i veći je od prošlogodišnjeg zbog povećanja cijena ugostiteljskih usluga.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272.347,50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320.259,35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Kapitalne pomoći u iznosu od =320.259,35 EUR namijenjena su za izgradnju dječjeg vrtića u </w:t>
      </w:r>
      <w:proofErr w:type="spellStart"/>
      <w:r>
        <w:t>Loparu</w:t>
      </w:r>
      <w:proofErr w:type="spellEnd"/>
      <w:r>
        <w:t xml:space="preserve"> (iznos od =272.347,50 EUR), te za opremanje sportske dvorane (iznos od =47.911,85 EUR).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27.022,18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Prihodi se odnose na zakup poslovnih prostora i veći su u odnosu na prošlogodišnje razdoblje za 21,1% iz razloga što se jedan poslovni prostor iznajmio sredinom 2024. godine, tako da nije bilo prihoda do polovice prošle godine.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269.300,03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62.842,81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 xml:space="preserve">Višestruko manji prihodi od naknada za korištenje nefinancijske imovine je zbog činjenice da je lani ostvarena velika naknada za koncesiju za turističko zemljište u hotelima i kampovima (potraživanja prema Uredbi o uređenju zakupa na turističkom zemljištu </w:t>
      </w:r>
      <w:r>
        <w:t>na kojemu su izgrađeni hoteli i turistička naselja („Narodne novine“, br. 16/2024)).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4645,7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lastRenderedPageBreak/>
        <w:t>Iznos od =924,50 EUR odnosi se na naknadu za zadržavanje nezakonito izgrađene zgrade u prostoru.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136.012,51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143.166,44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Iznos od =143.166,44 EUR odnosi se na turističku pristojbu u iznosu od =142.741,83 EUR, te na ostale naknade u iznosu od =424,61 EUR, te su nešto veći u odnosu na prošlogodišnje razdoblje zbog boljih turističkih pokazatelja po broju noćenja.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144.891,58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77.027,89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Prihodi od komunalnog doprinos manji su u odnosu na prošlu godinu zbog manje izgradnje i rekonstrukcije objekata, te samim time i manjim brojem izdanih rješenja.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1.882.560,86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2.370.327,70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Rashodi poslovanja za razdoblje od 01. siječnja do 31. prosinca 2025. godine iskazani su u iznosu od =2,370.327,70 EUR i veći su za =487.766,84 EUR ili za 25,9% u odnosu na isto prošlogodišnje razdoblje.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174.233,52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259.318,16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lastRenderedPageBreak/>
        <w:t>Povećanje ovih rashoda za 48,8% u odnosu na prošlu godinu je iz razloga novih koeficijenata radnih mjesta i povećanje osnovice za obračun plaća, te većeg broja zaposlenih službenika.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9.093,01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Povećanje ovih rashoda koji se odnose na dnevne obroke zaposlenika  veći je zbog većeg broja službenika, te više cijene dnevnog obroka u odnosu na lanjsku godinu.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6.896,93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131,6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Iznos od =9.077,84 EUR odnosi se na kamate po dugoročnom kreditu za izgradnju II. faze sportske dvorane u </w:t>
      </w:r>
      <w:proofErr w:type="spellStart"/>
      <w:r>
        <w:t>Loparu</w:t>
      </w:r>
      <w:proofErr w:type="spellEnd"/>
      <w:r>
        <w:t>, te za izgradnju dječjeg vrtića.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236.828,74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349.866,31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>Tekuće pomoći proračunskim korisnicima drugih proračuna u iznosu od =349.866,31 EUR odnose se na sufinanciranje ekonomske cijene dječjeg vrtića u 100%-</w:t>
      </w:r>
      <w:proofErr w:type="spellStart"/>
      <w:r>
        <w:t>tnom</w:t>
      </w:r>
      <w:proofErr w:type="spellEnd"/>
      <w:r>
        <w:t xml:space="preserve"> iznosu i financiranja produženog boravka također u cjelokupnom iznosu i veći je u odnosu na prošlogo</w:t>
      </w:r>
      <w:r>
        <w:t>dišnje razdoblje zbog povećanja ekonomske cijene boravka djece u dječjem vrtiću.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127.366,03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152.803,14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lastRenderedPageBreak/>
        <w:t xml:space="preserve">Prijenosi proračunskim korisnicima iz nadležnog proračuna za financiranje redovne djelatnosti u iznosu od =152.803,14 EUR odnose se na proračunskog korisnika Centar za kulturu i sport </w:t>
      </w:r>
      <w:proofErr w:type="spellStart"/>
      <w:r>
        <w:t>Lopar</w:t>
      </w:r>
      <w:proofErr w:type="spellEnd"/>
      <w:r>
        <w:t xml:space="preserve"> i to za financiranje rashoda poslovanja u iznosu od =149.931,95 EU</w:t>
      </w:r>
      <w:r>
        <w:t>R, te za nabavu nefinancijske imovine u iznosu od =2.871,19 EUR. Ovi rashodi su veći u odnosu na prošlogodišnje iz razloga veće aktivnost proračunskog korisnika (veći broj kulturnih, sportskih i drugih manifestacija).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161.601,24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Povećanje sredstava u odnosu na prošlu godinu je iz razloga isplate većeg iznosa prigodnog dara umirovljenicima (</w:t>
      </w:r>
      <w:proofErr w:type="spellStart"/>
      <w:r>
        <w:t>Uskrsnica</w:t>
      </w:r>
      <w:proofErr w:type="spellEnd"/>
      <w:r>
        <w:t>) u iznosu od =75,00 EUR po umirovljeniku, dok je lani taj iznos bio =50,00 EUR, a također i zbog isplate većeg broja stipendija učeni</w:t>
      </w:r>
      <w:r>
        <w:t>cima i studentima.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kreditnim i ostalim financijskim institucijama te </w:t>
            </w:r>
            <w:r>
              <w:rPr>
                <w:sz w:val="18"/>
              </w:rPr>
              <w:t>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174.151,59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Iznos od =174,151,59 EUR odnosi se na Županijsku upravu za ceste PGŽ za sufinanciranje rekonstrukcije županijske ceste ŽC 5138 u </w:t>
      </w:r>
      <w:proofErr w:type="spellStart"/>
      <w:r>
        <w:t>Loparu</w:t>
      </w:r>
      <w:proofErr w:type="spellEnd"/>
      <w:r>
        <w:t>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1.106.102,84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618.752,27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višak prihoda poslovanja u iznosu od =618.752,27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Prihodi od prodaje nefinancijske imovine za razdoblje od 01. siječnja do 31. prosinca 2025. godine iskazani su u iznosu od =110.710,22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130.017,67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Prihodi u iznosu od =110.710,22 EUR odnose se na prodaju nekretnina, tj. zemljišta.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1.088.551,83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2.120.854,53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194,8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Rashodi za nabavu nefinancijske imovine za razdoblje od 01. siječnja do 31. prosinca 2025. godine iskazani su u iznosu od =2,120.854,53 EUR. Razlog višestrukog povećanja u odnosu na prošlogodišnje razdoblje je izgradnja dječjeg vrtića i ceste </w:t>
      </w:r>
      <w:proofErr w:type="spellStart"/>
      <w:r>
        <w:t>Melak</w:t>
      </w:r>
      <w:proofErr w:type="spellEnd"/>
      <w:r>
        <w:t xml:space="preserve"> - Grobl</w:t>
      </w:r>
      <w:r>
        <w:t>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339.217,38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Rashodi u iznos od =4.339,44 EUR odnose se na kupnju zemljišta i puno su manji u odnosu na prošlu godinu kada je bilo sklopljeno više kupoprodajnih ugovora za kupnju zemljišta za potrebe izgradnje dječjeg vrtića i dr.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321.989,88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1.441.443,24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Rashodi se većinom odnose na izgradnju dječjeg vrtića u </w:t>
      </w:r>
      <w:proofErr w:type="spellStart"/>
      <w:r>
        <w:t>Loparu</w:t>
      </w:r>
      <w:proofErr w:type="spellEnd"/>
      <w:r>
        <w:t>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Ceste, željeznice i </w:t>
            </w:r>
            <w:r>
              <w:rPr>
                <w:sz w:val="18"/>
              </w:rPr>
              <w:t>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235.807,99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407.848,73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Rashodi za ceste, željeznice i ostali prometni objekti u iznosu od =407.848,73 EUR odnose se na izgradnju ceste </w:t>
      </w:r>
      <w:proofErr w:type="spellStart"/>
      <w:r>
        <w:t>Melak</w:t>
      </w:r>
      <w:proofErr w:type="spellEnd"/>
      <w:r>
        <w:t xml:space="preserve"> - Groblje, te na izgradnju pješačkih staza.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12.237,50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302,5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Rashodi u iznosu od =12.237,50 EUR odnose se na nabavu opreme na javnim površinama.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</w:t>
            </w:r>
            <w:r>
              <w:rPr>
                <w:sz w:val="18"/>
              </w:rPr>
              <w:t xml:space="preserve">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958.534,16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2.010.144,31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manjak prihoda od nefinancijske imovine u iznosu od =2,010.144,31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Primici od nefinancijske imovine za razdoblje od 01. siječnja do 31. prosinca 2025. godine iskazani su u iznosu od =806.990,28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806.990,28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Iznos od =806.990,28 EUR odnosi se na do sada realizirani iznos dugoročnog kredita za izgradnju dječjeg vrtića u </w:t>
      </w:r>
      <w:proofErr w:type="spellStart"/>
      <w:r>
        <w:t>Loparu</w:t>
      </w:r>
      <w:proofErr w:type="spellEnd"/>
      <w:r>
        <w:t>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Izdaci za financijsku imovinu i otplate zajmova za razdoblje od 01. siječnja do 31. prosinca 2025. godine iskazani su u iznosu od =66.361,40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Iznos od =66.361,40 EUR odnosi se na otplatu 2 polugodišnje glavnice dugoročnog kredita za izgradnju II. faze sportske dvorane u </w:t>
      </w:r>
      <w:proofErr w:type="spellStart"/>
      <w:r>
        <w:t>Loparu</w:t>
      </w:r>
      <w:proofErr w:type="spellEnd"/>
      <w:r>
        <w:t>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740.628,88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višak primitaka od financijske imovine i zaduživanja u iznosu od =740.628,88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3.118.681,37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3.906.780,47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Ukupni prihodi i primici za razdoblje od 01. siječnja do 31. prosinca 2025. godine iskazani su u iznosu od =3,906.780,47 EUR i veći su za =788.099,10 EUR ili za 25,3% u odnosu na prošlogodišnje razdoblje.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3.037.474,09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4.557.543,63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Ukupni rashodi i izdaci za razdoblje od 01. siječnja do 31. prosinca 2025. godine iskazani su u iznosu od =4,557.543,63 EUR i veći su za =1,520.069,54 EUR ili za 50,% veći u odnosu na prošlogodišnje razdoblje.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650.763,16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manjak prihoda i primitaka u iznosu od =650.763,16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</w:t>
            </w:r>
            <w:r>
              <w:rPr>
                <w:sz w:val="18"/>
              </w:rPr>
              <w:t>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41.388,45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Manjak prihoda i primitaka za pokriće u sljedećem razdoblju iznosi =41.388,45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>Rashodi budućih razdoblja iskazani su u iznosu od =3.571,29 EUR, a odnose se na unaprijed plaćene rashode za premije osiguranja službenih automobila i sportske dvorane.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1.205.509,15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349.576,28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29,0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Stanje novčanih sredstava na dan 31. prosinca 2025. godine iznosilo je =349.576,28 EUR i manje je u odnosu na isti dan prošle godine kada je stanje iznosilo =1,205.509,15 EUR. Razlog su veći rashodi i izdaci u ovom razdoblju, te samim time i obveza za plać</w:t>
      </w:r>
      <w:r>
        <w:t>anjem istih.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24.633.690,90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25.046.822,26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Imovina je iskazana je na dan 31. prosinca 2025. godine u iznosu od =25,046.822,26 EUR, što je povećanje od =413.131,36 EUR ili 1,7% u odnosu na stanje 01. siječnja.</w:t>
      </w:r>
    </w:p>
    <w:p w:rsidR="00C963C0" w:rsidRDefault="00A33458">
      <w:r>
        <w:t>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2.304.755,59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Značajnije povećanje odnosi se na izgrađenu cestu </w:t>
      </w:r>
      <w:proofErr w:type="spellStart"/>
      <w:r>
        <w:t>Melak</w:t>
      </w:r>
      <w:proofErr w:type="spellEnd"/>
      <w:r>
        <w:t>-Groblje.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2.987.860,05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1.710.236,86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57,2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Financijska imovina iskazana je u iznosu od =1,710.236,86 EUR i manja je za iznos od =1,277.623,19 EUR u odnosu na prošlogodišnje razdoblje iz razloga smanjenja novčanih sredstava i udjela u glavnicama trgovačkih društava.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24.633.690,90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25.046.822,26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Obveze i vlastiti izvori iskazani su u iznosu od =25,046.822,26 EUR i manji su u odnosu na stanje 01. siječnja za =413.131,36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1.064.075,93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1.600.599,86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150,4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Obveze su iskazane u iznosu od =1,600.599,86 EUR i veće su u odnosu na početak godine za =536.523,93 EUR ponajviše iz razloga povećanja obveza za kredite.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23.569.614,97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23.446.222,40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Vlastiti izvori iskazani su u iznosu od =23,466.222,40 EUR i manji su u odnosu na stanje 01. siječnja za =123.392,57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</w:t>
            </w:r>
            <w:r>
              <w:rPr>
                <w:sz w:val="18"/>
              </w:rPr>
              <w:t xml:space="preserve">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41.388,45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manjak prihoda i primitaka u iznosu od =41.388,45 EUR za pokriće u sljedećem razdoblju.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2.843.746,66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4.338.379,09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ukupan iznos od =4,338.379,09 EUR što je za =1,495.975,88 EUR više u odnosu na iznos od =2,843.746,66 EUR iskazan za 2024. godinu.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</w:t>
            </w:r>
            <w:r>
              <w:rPr>
                <w:b/>
                <w:sz w:val="18"/>
              </w:rPr>
              <w:t>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430.120,60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Iskazan je iznos ukupnog smanjenja od =430.120,60 EUR u vrijednosti i obujmu imovine.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428.849,98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Iznos smanjenja od =428.849,98 EUR odnosi se na iznos provedenog ispravka vrijednosti proizvedene dugotrajne imovine.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 xml:space="preserve">Iznos smanjenja od =1.270,62 EUR odnosi se na iznos provedenog ispravka vrijednosti sitnog inventara i </w:t>
      </w:r>
      <w:proofErr w:type="spellStart"/>
      <w:r>
        <w:t>autoguma</w:t>
      </w:r>
      <w:proofErr w:type="spellEnd"/>
      <w:r>
        <w:t>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1.064.075,93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Stanje obveza na dan 01. siječnja 2025. godine iznosilo je =1,064.075,93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1.600.599,86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r>
        <w:t>Stanje obveza na dan 31. prosinca 2025. godine iznosilo je =1,600.599,86 EUR, od čega se na dospjele obveze odnosi iznos od =85.345,98 EUR, a na nedospjele obveze iznos od =1,515.253,88 EUR.</w:t>
      </w:r>
    </w:p>
    <w:p w:rsidR="00C963C0" w:rsidRDefault="00A33458">
      <w:r>
        <w:t>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85.345,98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>Stanje dospjelih obveza na dan 31. prosinca 2025. godine iznosi =85.345,98 EUR, a odnosi se na:  obveze za rashode poslovanja u iznosu od =23.428,20 EUR,  obveze za nabavu nefinancijske imovine u iznosu od =61.917,78 EUR.                                   </w:t>
      </w:r>
      <w:r>
        <w:t xml:space="preserve">                                                                                         Obveze za materijalne rashode:  - prekoračenje 1 do 60 dana u iznosu od =21.173,08 EUR odnosi se na dio računa u iznosu od =19.536,72 EUR za održavanje pomorskog dobra</w:t>
      </w:r>
      <w:r>
        <w:t xml:space="preserve"> (obrt Alpa Sub), na račun za održavanje internet stranice u iznosu od =92,91 EUR (</w:t>
      </w:r>
      <w:proofErr w:type="spellStart"/>
      <w:r>
        <w:t>Sentit</w:t>
      </w:r>
      <w:proofErr w:type="spellEnd"/>
      <w:r>
        <w:t xml:space="preserve"> </w:t>
      </w:r>
      <w:proofErr w:type="spellStart"/>
      <w:r>
        <w:t>j.d.o.o</w:t>
      </w:r>
      <w:proofErr w:type="spellEnd"/>
      <w:r>
        <w:t>.), te na 2 računa za računalne usluge u iznosu od =1.343,45 EUR, isti dan izdavanja i dospijeća: 31.12.2025. godine (</w:t>
      </w:r>
      <w:proofErr w:type="spellStart"/>
      <w:r>
        <w:t>Sentit</w:t>
      </w:r>
      <w:proofErr w:type="spellEnd"/>
      <w:r>
        <w:t xml:space="preserve"> </w:t>
      </w:r>
      <w:proofErr w:type="spellStart"/>
      <w:r>
        <w:t>j.d.o.o</w:t>
      </w:r>
      <w:proofErr w:type="spellEnd"/>
      <w:r>
        <w:t xml:space="preserve">.) -prekoračenje preko 360 </w:t>
      </w:r>
      <w:r>
        <w:t xml:space="preserve">dana u iznosu od =2.255,10 EUR odnosi se na račun u iznosu od =331,81 EUR za usluge ozvučenja, koji je osporavan (TT animacija d.o.o.), te na račun u iznosu od =1.923,29 EUR za usluge popravka uređaja koji je servisiran, ali je bio u garantnom roku, te se </w:t>
      </w:r>
      <w:r>
        <w:t>čeka odgovor oko toga (</w:t>
      </w:r>
      <w:proofErr w:type="spellStart"/>
      <w:r>
        <w:t>Totić</w:t>
      </w:r>
      <w:proofErr w:type="spellEnd"/>
      <w:r>
        <w:t xml:space="preserve"> instalacije d.o.o.).  Obveze na naknade građanima i kućanstvima:  -prekoračenje preko 360 dana u iznosu od =0,02 EUR, odnosi se na obvezu koja je nastala prilikom konverzije iz kuna u eure. Obveze na nabavu nefinancijske imovin</w:t>
      </w:r>
      <w:r>
        <w:t xml:space="preserve">e:  -prekoračenje 181 do 360 dana u iznosu od =162,30 EUR odnosi se na dio računa dobavljača Kod kapetana </w:t>
      </w:r>
      <w:proofErr w:type="spellStart"/>
      <w:r>
        <w:t>j.d.o.o</w:t>
      </w:r>
      <w:proofErr w:type="spellEnd"/>
      <w:r>
        <w:t>. za sanaciju šetnice, te se očekuje odobrenje po ovom računu;  -prekoračenje preko 360 dana u iznosu od =61.755,47 EUR odnosi se na rashode za</w:t>
      </w:r>
      <w:r>
        <w:t xml:space="preserve"> kupnju zemljišta gdje se vode sporovi oko utvrđivanja vlasništva na predmetnim nekretninama. 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96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963C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C963C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</w:t>
            </w:r>
            <w:r>
              <w:rPr>
                <w:sz w:val="18"/>
              </w:rPr>
              <w:t>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1.515.253,88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963C0" w:rsidRDefault="00A3345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963C0" w:rsidRDefault="00C963C0">
      <w:pPr>
        <w:spacing w:after="0"/>
      </w:pPr>
    </w:p>
    <w:p w:rsidR="00C963C0" w:rsidRDefault="00A33458">
      <w:pPr>
        <w:jc w:val="both"/>
      </w:pPr>
      <w:r>
        <w:t>Stanje nedospjelih obveza na dan 31. prosinca 2025. godine iznosi =1,515.253,88 EUR, a odnosi se na: -međusobne obveze proračunskih korisnika u iznosu od =4.518,96 EUR,-obveze za rashode poslovanja u iznosu od =156.681,03 EUR,  -obveze za nabavu nefinancij</w:t>
      </w:r>
      <w:r>
        <w:t xml:space="preserve">ske imovine u iznosu od =183.984,46 EUR,  -obveze za financijsku imovinu u iznosu od =1,138.797,32 EUR,  -obveze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=31.272,11 EUR.</w:t>
      </w:r>
    </w:p>
    <w:p w:rsidR="00C963C0" w:rsidRDefault="00C963C0"/>
    <w:p w:rsidR="00C963C0" w:rsidRDefault="00A33458">
      <w:pPr>
        <w:keepNext/>
        <w:spacing w:line="240" w:lineRule="auto"/>
        <w:jc w:val="center"/>
      </w:pPr>
      <w:r>
        <w:rPr>
          <w:sz w:val="28"/>
        </w:rPr>
        <w:t>Bilješka 55.</w:t>
      </w:r>
    </w:p>
    <w:p w:rsidR="00C963C0" w:rsidRDefault="00A33458">
      <w:pPr>
        <w:spacing w:line="240" w:lineRule="auto"/>
        <w:jc w:val="both"/>
      </w:pPr>
      <w:r>
        <w:rPr>
          <w:b/>
        </w:rPr>
        <w:t>EU izvještaj</w:t>
      </w:r>
    </w:p>
    <w:p w:rsidR="00C963C0" w:rsidRDefault="00A33458">
      <w:r>
        <w:t xml:space="preserve">Općina </w:t>
      </w:r>
      <w:proofErr w:type="spellStart"/>
      <w:r>
        <w:t>Lopar</w:t>
      </w:r>
      <w:proofErr w:type="spellEnd"/>
      <w:r>
        <w:t xml:space="preserve"> je u 2025. godini p</w:t>
      </w:r>
      <w:r>
        <w:t>rimila sredstva u iznosu od =242.347,50 EUR bespovratnih sredstava za radove na izgradnji dječjeg vrtića (isti iznos primljen je i krajem 2024. godine), te iznos od =47.911,85 EUR za rashode za opremanje sportske dvorane.</w:t>
      </w:r>
    </w:p>
    <w:p w:rsidR="00C963C0" w:rsidRDefault="00C963C0"/>
    <w:sectPr w:rsidR="00C96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C0"/>
    <w:rsid w:val="00A33458"/>
    <w:rsid w:val="00C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766B2-5934-42DF-BA26-5F4FD39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2026-02-26T07:03:00Z</dcterms:created>
  <dcterms:modified xsi:type="dcterms:W3CDTF">2026-02-26T07:03:00Z</dcterms:modified>
</cp:coreProperties>
</file>