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6F14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A7136D">
        <w:rPr>
          <w:rFonts w:eastAsiaTheme="minorEastAsia"/>
          <w:b/>
          <w:lang w:val="pl-PL"/>
        </w:rPr>
        <w:t xml:space="preserve">               </w:t>
      </w:r>
      <w:r w:rsidRPr="00E02567">
        <w:rPr>
          <w:rFonts w:eastAsiaTheme="minorEastAsia"/>
          <w:b/>
          <w:lang w:val="en-GB"/>
        </w:rPr>
        <w:object w:dxaOrig="1329" w:dyaOrig="1726" w14:anchorId="31E3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8" o:title="" gain="93623f" blacklevel="-3932f"/>
          </v:shape>
          <o:OLEObject Type="Embed" ProgID="CorelDraw.Graphic.9" ShapeID="_x0000_i1025" DrawAspect="Content" ObjectID="_1743593382" r:id="rId9"/>
        </w:object>
      </w:r>
    </w:p>
    <w:p w14:paraId="5E2E3CE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</w:p>
    <w:p w14:paraId="2EE2BC8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E02567">
        <w:rPr>
          <w:rFonts w:eastAsiaTheme="minorEastAsia"/>
          <w:b/>
        </w:rPr>
        <w:t>REPUBLIKA HRVATSKA</w:t>
      </w:r>
    </w:p>
    <w:p w14:paraId="4B66C495" w14:textId="633DF713" w:rsidR="00E02567" w:rsidRPr="00E02567" w:rsidRDefault="006B626F" w:rsidP="00E02567">
      <w:pPr>
        <w:spacing w:after="0" w:line="240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PRIMORSKO-GORANSKA</w:t>
      </w:r>
      <w:r w:rsidR="00E02567" w:rsidRPr="00E02567">
        <w:rPr>
          <w:rFonts w:eastAsiaTheme="minorEastAsia"/>
          <w:b/>
          <w:bCs/>
        </w:rPr>
        <w:t xml:space="preserve"> ŽUPANIJA</w:t>
      </w:r>
    </w:p>
    <w:p w14:paraId="7D61A064" w14:textId="4B3EE8D8" w:rsidR="00E02567" w:rsidRPr="00937055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OPĆINA </w:t>
      </w:r>
      <w:r w:rsidR="006B626F">
        <w:rPr>
          <w:rFonts w:eastAsiaTheme="minorEastAsia"/>
          <w:b/>
          <w:bCs/>
        </w:rPr>
        <w:t>LOPAR</w:t>
      </w:r>
    </w:p>
    <w:p w14:paraId="2553290C" w14:textId="2DC54EC0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Povjerenstvo za provedbu </w:t>
      </w:r>
      <w:r w:rsidR="008B6002">
        <w:rPr>
          <w:rFonts w:eastAsiaTheme="minorEastAsia"/>
          <w:b/>
          <w:bCs/>
        </w:rPr>
        <w:t>natječaja</w:t>
      </w:r>
    </w:p>
    <w:p w14:paraId="0CA16ABE" w14:textId="3BFFBE9E" w:rsidR="00EB3030" w:rsidRPr="00EB3030" w:rsidRDefault="00EB3030" w:rsidP="00EB3030">
      <w:pPr>
        <w:spacing w:after="0" w:line="240" w:lineRule="auto"/>
        <w:rPr>
          <w:rFonts w:eastAsia="Times New Roman"/>
          <w:i/>
          <w:iCs/>
          <w:lang w:eastAsia="hr-HR"/>
        </w:rPr>
      </w:pPr>
      <w:r w:rsidRPr="00EB3030">
        <w:rPr>
          <w:rFonts w:eastAsia="Times New Roman"/>
          <w:i/>
          <w:iCs/>
          <w:lang w:eastAsia="hr-HR"/>
        </w:rPr>
        <w:t>KLASA: 112-03/23-01/</w:t>
      </w:r>
      <w:r w:rsidR="0057199F">
        <w:rPr>
          <w:rFonts w:eastAsia="Times New Roman"/>
          <w:i/>
          <w:iCs/>
          <w:lang w:eastAsia="hr-HR"/>
        </w:rPr>
        <w:t>2</w:t>
      </w:r>
      <w:r w:rsidRPr="00EB3030">
        <w:rPr>
          <w:rFonts w:eastAsia="Times New Roman"/>
          <w:i/>
          <w:iCs/>
          <w:lang w:eastAsia="hr-HR"/>
        </w:rPr>
        <w:br/>
        <w:t>URBROJ: 2170-24-04-23-</w:t>
      </w:r>
      <w:r w:rsidR="009E0146">
        <w:rPr>
          <w:rFonts w:eastAsia="Times New Roman"/>
          <w:i/>
          <w:iCs/>
          <w:lang w:eastAsia="hr-HR"/>
        </w:rPr>
        <w:t>3</w:t>
      </w:r>
      <w:r w:rsidRPr="00EB3030">
        <w:rPr>
          <w:rFonts w:eastAsia="Times New Roman"/>
          <w:i/>
          <w:iCs/>
          <w:lang w:eastAsia="hr-HR"/>
        </w:rPr>
        <w:br/>
        <w:t xml:space="preserve">Lopar, </w:t>
      </w:r>
      <w:r w:rsidR="008156E2">
        <w:rPr>
          <w:rFonts w:eastAsia="Times New Roman"/>
          <w:i/>
          <w:iCs/>
          <w:lang w:eastAsia="hr-HR"/>
        </w:rPr>
        <w:t>21</w:t>
      </w:r>
      <w:r w:rsidRPr="00EB3030">
        <w:rPr>
          <w:rFonts w:eastAsia="Times New Roman"/>
          <w:i/>
          <w:iCs/>
          <w:lang w:eastAsia="hr-HR"/>
        </w:rPr>
        <w:t xml:space="preserve">. </w:t>
      </w:r>
      <w:r w:rsidR="008156E2">
        <w:rPr>
          <w:rFonts w:eastAsia="Times New Roman"/>
          <w:i/>
          <w:iCs/>
          <w:lang w:eastAsia="hr-HR"/>
        </w:rPr>
        <w:t>travnja</w:t>
      </w:r>
      <w:r w:rsidRPr="00EB3030">
        <w:rPr>
          <w:rFonts w:eastAsia="Times New Roman"/>
          <w:i/>
          <w:iCs/>
          <w:lang w:eastAsia="hr-HR"/>
        </w:rPr>
        <w:t xml:space="preserve"> 2023.</w:t>
      </w:r>
    </w:p>
    <w:p w14:paraId="782E87C2" w14:textId="77777777" w:rsidR="00CE6919" w:rsidRPr="00E02567" w:rsidRDefault="00CE6919" w:rsidP="00CE6919">
      <w:pPr>
        <w:spacing w:after="0" w:line="240" w:lineRule="auto"/>
        <w:jc w:val="both"/>
        <w:rPr>
          <w:rFonts w:ascii="Calibri" w:eastAsiaTheme="minorEastAsia" w:hAnsi="Calibri"/>
          <w:sz w:val="22"/>
          <w:szCs w:val="22"/>
        </w:rPr>
      </w:pPr>
    </w:p>
    <w:p w14:paraId="248E2DB8" w14:textId="0118187C" w:rsidR="00E02567" w:rsidRPr="008B6002" w:rsidRDefault="00E02567" w:rsidP="008B6002">
      <w:pPr>
        <w:spacing w:after="0" w:line="240" w:lineRule="auto"/>
        <w:ind w:firstLine="708"/>
        <w:jc w:val="both"/>
        <w:rPr>
          <w:rFonts w:eastAsiaTheme="minorEastAsia"/>
        </w:rPr>
      </w:pPr>
      <w:r w:rsidRPr="00E02567">
        <w:rPr>
          <w:rFonts w:eastAsiaTheme="minorEastAsia"/>
        </w:rPr>
        <w:t xml:space="preserve">Povjerenstvo za provedbu </w:t>
      </w:r>
      <w:r w:rsidR="008B6002">
        <w:rPr>
          <w:rFonts w:eastAsiaTheme="minorEastAsia"/>
        </w:rPr>
        <w:t xml:space="preserve">natječaja </w:t>
      </w:r>
      <w:r w:rsidRPr="00E02567">
        <w:rPr>
          <w:rFonts w:eastAsiaTheme="minorEastAsia"/>
        </w:rPr>
        <w:t xml:space="preserve"> (u daljnjem tekstu: Povjerenstvo) za </w:t>
      </w:r>
      <w:bookmarkStart w:id="0" w:name="_Hlk125619588"/>
      <w:r w:rsidR="00346633">
        <w:rPr>
          <w:rFonts w:eastAsiaTheme="minorEastAsia"/>
          <w:b/>
        </w:rPr>
        <w:t>prij</w:t>
      </w:r>
      <w:r w:rsidR="0057199F">
        <w:rPr>
          <w:rFonts w:eastAsiaTheme="minorEastAsia"/>
          <w:b/>
        </w:rPr>
        <w:t>a</w:t>
      </w:r>
      <w:r w:rsidR="00346633">
        <w:rPr>
          <w:rFonts w:eastAsiaTheme="minorEastAsia"/>
          <w:b/>
        </w:rPr>
        <w:t>m u službu vježbenika</w:t>
      </w:r>
      <w:r w:rsidR="008B6002" w:rsidRPr="002939EE">
        <w:rPr>
          <w:rFonts w:eastAsiaTheme="minorEastAsia"/>
          <w:b/>
        </w:rPr>
        <w:t xml:space="preserve"> </w:t>
      </w:r>
      <w:r w:rsidR="008B6002" w:rsidRPr="002939EE">
        <w:rPr>
          <w:rFonts w:eastAsiaTheme="minorEastAsia"/>
          <w:bCs/>
        </w:rPr>
        <w:t>u</w:t>
      </w:r>
      <w:r w:rsidR="008B6002" w:rsidRPr="002939EE">
        <w:rPr>
          <w:rFonts w:eastAsiaTheme="minorEastAsia"/>
          <w:color w:val="000000"/>
        </w:rPr>
        <w:t xml:space="preserve"> </w:t>
      </w:r>
      <w:r w:rsidR="006B626F">
        <w:rPr>
          <w:rFonts w:eastAsiaTheme="minorEastAsia"/>
          <w:color w:val="000000"/>
        </w:rPr>
        <w:t>U</w:t>
      </w:r>
      <w:r w:rsidRPr="00E02567">
        <w:rPr>
          <w:rFonts w:eastAsiaTheme="minorEastAsia"/>
          <w:color w:val="000000"/>
        </w:rPr>
        <w:t>pravno</w:t>
      </w:r>
      <w:r w:rsidR="008B6002">
        <w:rPr>
          <w:rFonts w:eastAsiaTheme="minorEastAsia"/>
          <w:color w:val="000000"/>
        </w:rPr>
        <w:t>m</w:t>
      </w:r>
      <w:r w:rsidRPr="00E02567">
        <w:rPr>
          <w:rFonts w:eastAsiaTheme="minorEastAsia"/>
          <w:color w:val="000000"/>
        </w:rPr>
        <w:t xml:space="preserve"> odjel</w:t>
      </w:r>
      <w:r w:rsidR="008B6002">
        <w:rPr>
          <w:rFonts w:eastAsiaTheme="minorEastAsia"/>
          <w:color w:val="000000"/>
        </w:rPr>
        <w:t>u</w:t>
      </w:r>
      <w:r w:rsidR="006B626F">
        <w:rPr>
          <w:rFonts w:eastAsiaTheme="minorEastAsia"/>
          <w:color w:val="000000"/>
        </w:rPr>
        <w:t xml:space="preserve"> </w:t>
      </w:r>
      <w:bookmarkStart w:id="1" w:name="_Hlk126232168"/>
      <w:r w:rsidR="006B626F">
        <w:rPr>
          <w:rFonts w:eastAsiaTheme="minorEastAsia"/>
          <w:color w:val="000000"/>
        </w:rPr>
        <w:t xml:space="preserve">za </w:t>
      </w:r>
      <w:r w:rsidR="0057199F">
        <w:rPr>
          <w:rFonts w:eastAsiaTheme="minorEastAsia"/>
          <w:color w:val="000000"/>
        </w:rPr>
        <w:t>financije i komunalni sustav</w:t>
      </w:r>
      <w:r w:rsidRPr="00E02567">
        <w:rPr>
          <w:rFonts w:eastAsiaTheme="minorEastAsia"/>
          <w:color w:val="000000"/>
        </w:rPr>
        <w:t xml:space="preserve"> </w:t>
      </w:r>
      <w:bookmarkEnd w:id="0"/>
      <w:r w:rsidRPr="00E02567">
        <w:rPr>
          <w:rFonts w:eastAsiaTheme="minorEastAsia"/>
          <w:color w:val="000000"/>
        </w:rPr>
        <w:t xml:space="preserve">Općine </w:t>
      </w:r>
      <w:r w:rsidR="006B626F">
        <w:rPr>
          <w:rFonts w:eastAsiaTheme="minorEastAsia"/>
          <w:color w:val="000000"/>
        </w:rPr>
        <w:t>Lopar</w:t>
      </w:r>
      <w:bookmarkEnd w:id="1"/>
      <w:r w:rsidRPr="00E02567">
        <w:rPr>
          <w:rFonts w:eastAsiaTheme="minorEastAsia"/>
        </w:rPr>
        <w:t>, na temelju članka 19. i 20. Zakona o službenicima i namještenicima u lokalnoj i područnoj (regionalnoj) samoupravi ("Narodne novine", broj 86/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08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, 61/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11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, 04/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18</w:t>
      </w:r>
      <w:r>
        <w:rPr>
          <w:rFonts w:eastAsiaTheme="minorEastAsia"/>
        </w:rPr>
        <w:t>. i</w:t>
      </w:r>
      <w:r w:rsidRPr="00E02567">
        <w:rPr>
          <w:rFonts w:eastAsiaTheme="minorEastAsia"/>
        </w:rPr>
        <w:t xml:space="preserve"> 112/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19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- u nastavku teksta ZSN), objavljuje</w:t>
      </w:r>
    </w:p>
    <w:p w14:paraId="3B4857BD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</w:p>
    <w:p w14:paraId="593C551D" w14:textId="5A10382F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OBAVIJEST I UPUTE KANDIDATIMA</w:t>
      </w:r>
    </w:p>
    <w:p w14:paraId="0FB79A96" w14:textId="39EFAA29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 xml:space="preserve">koji podnose prijavu na javni natječaj </w:t>
      </w:r>
      <w:r w:rsidR="00346633" w:rsidRPr="00346633">
        <w:rPr>
          <w:rFonts w:eastAsiaTheme="minorEastAsia"/>
          <w:lang w:eastAsia="hr-HR"/>
        </w:rPr>
        <w:t>za</w:t>
      </w:r>
      <w:r w:rsidR="009E0146">
        <w:rPr>
          <w:rFonts w:eastAsiaTheme="minorEastAsia"/>
          <w:lang w:eastAsia="hr-HR"/>
        </w:rPr>
        <w:t xml:space="preserve"> prijam u službu vježbenika  u</w:t>
      </w:r>
      <w:r w:rsidR="009E0146" w:rsidRPr="009E0146">
        <w:rPr>
          <w:rFonts w:eastAsiaTheme="minorEastAsia"/>
          <w:lang w:eastAsia="hr-HR"/>
        </w:rPr>
        <w:t xml:space="preserve"> Upravn</w:t>
      </w:r>
      <w:r w:rsidR="009E0146">
        <w:rPr>
          <w:rFonts w:eastAsiaTheme="minorEastAsia"/>
          <w:lang w:eastAsia="hr-HR"/>
        </w:rPr>
        <w:t>i</w:t>
      </w:r>
      <w:r w:rsidR="009E0146" w:rsidRPr="009E0146">
        <w:rPr>
          <w:rFonts w:eastAsiaTheme="minorEastAsia"/>
          <w:lang w:eastAsia="hr-HR"/>
        </w:rPr>
        <w:t xml:space="preserve"> odjel za </w:t>
      </w:r>
      <w:r w:rsidR="0057199F">
        <w:rPr>
          <w:rFonts w:eastAsiaTheme="minorEastAsia"/>
          <w:lang w:eastAsia="hr-HR"/>
        </w:rPr>
        <w:t>financije i komunalni sustav</w:t>
      </w:r>
      <w:r w:rsidR="009E0146" w:rsidRPr="009E0146">
        <w:rPr>
          <w:rFonts w:eastAsiaTheme="minorEastAsia"/>
          <w:lang w:eastAsia="hr-HR"/>
        </w:rPr>
        <w:t xml:space="preserve"> </w:t>
      </w:r>
      <w:r w:rsidR="009E0146">
        <w:rPr>
          <w:rFonts w:eastAsiaTheme="minorEastAsia"/>
          <w:lang w:eastAsia="hr-HR"/>
        </w:rPr>
        <w:t>za</w:t>
      </w:r>
      <w:r w:rsidR="00346633" w:rsidRPr="00346633">
        <w:rPr>
          <w:rFonts w:eastAsiaTheme="minorEastAsia"/>
          <w:lang w:eastAsia="hr-HR"/>
        </w:rPr>
        <w:t xml:space="preserve"> obavljanje vježbeničkog staža radi osposobljavanja za poslove radnog mjesta: </w:t>
      </w:r>
      <w:r w:rsidR="00346633" w:rsidRPr="00346633">
        <w:rPr>
          <w:rFonts w:eastAsiaTheme="minorEastAsia"/>
          <w:b/>
          <w:lang w:eastAsia="hr-HR"/>
        </w:rPr>
        <w:t xml:space="preserve">viši </w:t>
      </w:r>
      <w:r w:rsidR="0057199F">
        <w:rPr>
          <w:rFonts w:eastAsiaTheme="minorEastAsia"/>
          <w:b/>
          <w:lang w:eastAsia="hr-HR"/>
        </w:rPr>
        <w:t>referent – komunalni redar i prometni redar</w:t>
      </w:r>
      <w:r w:rsidR="00346633" w:rsidRPr="00346633">
        <w:rPr>
          <w:rFonts w:eastAsiaTheme="minorEastAsia"/>
          <w:b/>
          <w:lang w:eastAsia="hr-HR"/>
        </w:rPr>
        <w:t xml:space="preserve"> </w:t>
      </w:r>
      <w:r w:rsidR="00346633" w:rsidRPr="00346633">
        <w:rPr>
          <w:rFonts w:eastAsiaTheme="minorEastAsia"/>
          <w:lang w:eastAsia="hr-HR"/>
        </w:rPr>
        <w:t xml:space="preserve">- </w:t>
      </w:r>
      <w:r w:rsidR="00346633" w:rsidRPr="00346633">
        <w:rPr>
          <w:rFonts w:eastAsiaTheme="minorEastAsia"/>
          <w:b/>
          <w:bCs/>
          <w:lang w:eastAsia="hr-HR"/>
        </w:rPr>
        <w:t> </w:t>
      </w:r>
      <w:r w:rsidR="00346633" w:rsidRPr="00346633">
        <w:rPr>
          <w:rFonts w:eastAsiaTheme="minorEastAsia"/>
          <w:lang w:eastAsia="hr-HR"/>
        </w:rPr>
        <w:t>1 izvršitelj/izvršiteljica, na određeno vrijeme, u trajanju vježbeničkog staža od 12 mjeseci.</w:t>
      </w:r>
    </w:p>
    <w:p w14:paraId="2BD0D993" w14:textId="1B3D505B" w:rsidR="00346633" w:rsidRPr="00346633" w:rsidRDefault="008B6002" w:rsidP="003466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U „Narodnim novinama“ broj :</w:t>
      </w:r>
      <w:r w:rsidR="00346633">
        <w:rPr>
          <w:rFonts w:eastAsiaTheme="minorEastAsia"/>
          <w:lang w:eastAsia="hr-HR"/>
        </w:rPr>
        <w:t xml:space="preserve"> </w:t>
      </w:r>
      <w:r w:rsidR="00A7136D" w:rsidRPr="00A7136D">
        <w:rPr>
          <w:rFonts w:eastAsiaTheme="minorEastAsia"/>
          <w:lang w:eastAsia="hr-HR"/>
        </w:rPr>
        <w:t>43</w:t>
      </w:r>
      <w:r w:rsidR="002F1D93" w:rsidRPr="00A7136D">
        <w:rPr>
          <w:rFonts w:eastAsiaTheme="minorEastAsia"/>
          <w:lang w:eastAsia="hr-HR"/>
        </w:rPr>
        <w:t>/2023</w:t>
      </w:r>
      <w:r w:rsidR="00346633" w:rsidRPr="00A7136D">
        <w:rPr>
          <w:rFonts w:eastAsiaTheme="minorEastAsia"/>
          <w:lang w:eastAsia="hr-HR"/>
        </w:rPr>
        <w:t xml:space="preserve"> </w:t>
      </w:r>
      <w:r w:rsidRPr="00A7136D">
        <w:rPr>
          <w:rFonts w:eastAsiaTheme="minorEastAsia"/>
          <w:lang w:eastAsia="hr-HR"/>
        </w:rPr>
        <w:t xml:space="preserve"> od </w:t>
      </w:r>
      <w:r w:rsidR="002F1D93" w:rsidRPr="00A7136D">
        <w:rPr>
          <w:rFonts w:eastAsiaTheme="minorEastAsia"/>
          <w:lang w:eastAsia="hr-HR"/>
        </w:rPr>
        <w:t>2</w:t>
      </w:r>
      <w:r w:rsidR="00A7136D" w:rsidRPr="00A7136D">
        <w:rPr>
          <w:rFonts w:eastAsiaTheme="minorEastAsia"/>
          <w:lang w:eastAsia="hr-HR"/>
        </w:rPr>
        <w:t>1</w:t>
      </w:r>
      <w:r w:rsidRPr="00A7136D">
        <w:rPr>
          <w:rFonts w:eastAsiaTheme="minorEastAsia"/>
          <w:lang w:eastAsia="hr-HR"/>
        </w:rPr>
        <w:t xml:space="preserve">. </w:t>
      </w:r>
      <w:r w:rsidR="00A7136D" w:rsidRPr="00A7136D">
        <w:rPr>
          <w:rFonts w:eastAsiaTheme="minorEastAsia"/>
          <w:lang w:eastAsia="hr-HR"/>
        </w:rPr>
        <w:t>travnja</w:t>
      </w:r>
      <w:r w:rsidRPr="00A7136D">
        <w:rPr>
          <w:rFonts w:eastAsiaTheme="minorEastAsia"/>
          <w:lang w:eastAsia="hr-HR"/>
        </w:rPr>
        <w:t xml:space="preserve"> 2023.</w:t>
      </w:r>
      <w:r w:rsidRPr="008B6002">
        <w:rPr>
          <w:rFonts w:eastAsiaTheme="minorEastAsia"/>
          <w:lang w:eastAsia="hr-HR"/>
        </w:rPr>
        <w:t xml:space="preserve"> godine objavljen je javni natječaj </w:t>
      </w:r>
      <w:r w:rsidR="00346633" w:rsidRPr="00346633">
        <w:rPr>
          <w:rFonts w:eastAsiaTheme="minorEastAsia"/>
          <w:lang w:eastAsia="hr-HR"/>
        </w:rPr>
        <w:t xml:space="preserve">za obavljanje vježbeničkog staža radi osposobljavanja za poslove radnog mjesta: </w:t>
      </w:r>
      <w:r w:rsidR="00346633" w:rsidRPr="00346633">
        <w:rPr>
          <w:rFonts w:eastAsiaTheme="minorEastAsia"/>
          <w:b/>
          <w:lang w:eastAsia="hr-HR"/>
        </w:rPr>
        <w:t xml:space="preserve">viši </w:t>
      </w:r>
      <w:r w:rsidR="0057199F">
        <w:rPr>
          <w:rFonts w:eastAsiaTheme="minorEastAsia"/>
          <w:b/>
          <w:lang w:eastAsia="hr-HR"/>
        </w:rPr>
        <w:t>referent – komunalni redar i prometni redar</w:t>
      </w:r>
      <w:r w:rsidR="00346633" w:rsidRPr="00346633">
        <w:rPr>
          <w:rFonts w:eastAsiaTheme="minorEastAsia"/>
          <w:lang w:eastAsia="hr-HR"/>
        </w:rPr>
        <w:t xml:space="preserve">- </w:t>
      </w:r>
      <w:r w:rsidR="00346633" w:rsidRPr="00346633">
        <w:rPr>
          <w:rFonts w:eastAsiaTheme="minorEastAsia"/>
          <w:b/>
          <w:bCs/>
          <w:lang w:eastAsia="hr-HR"/>
        </w:rPr>
        <w:t> </w:t>
      </w:r>
      <w:r w:rsidR="00346633" w:rsidRPr="00346633">
        <w:rPr>
          <w:rFonts w:eastAsiaTheme="minorEastAsia"/>
          <w:lang w:eastAsia="hr-HR"/>
        </w:rPr>
        <w:t>1 izvršitelj/izvršiteljica, na određeno vrijeme, u trajanju vježbeničkog staža od 12 mjeseci.</w:t>
      </w:r>
    </w:p>
    <w:p w14:paraId="296F46DD" w14:textId="38709FE6" w:rsidR="008D5290" w:rsidRDefault="00A4688A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I</w:t>
      </w:r>
      <w:r w:rsidR="009E0146" w:rsidRPr="009E0146">
        <w:rPr>
          <w:rFonts w:eastAsiaTheme="minorEastAsia"/>
          <w:lang w:eastAsia="hr-HR"/>
        </w:rPr>
        <w:t>zrazi</w:t>
      </w:r>
      <w:r w:rsidR="009E0146">
        <w:rPr>
          <w:rFonts w:eastAsiaTheme="minorEastAsia"/>
          <w:lang w:eastAsia="hr-HR"/>
        </w:rPr>
        <w:t xml:space="preserve"> </w:t>
      </w:r>
      <w:r w:rsidR="009E0146" w:rsidRPr="009E0146">
        <w:rPr>
          <w:rFonts w:eastAsiaTheme="minorEastAsia"/>
          <w:lang w:eastAsia="hr-HR"/>
        </w:rPr>
        <w:t>koji se koriste u ovoj obavijesti i</w:t>
      </w:r>
      <w:r w:rsidR="009E0146">
        <w:rPr>
          <w:rFonts w:eastAsiaTheme="minorEastAsia"/>
          <w:lang w:eastAsia="hr-HR"/>
        </w:rPr>
        <w:t xml:space="preserve"> </w:t>
      </w:r>
      <w:r w:rsidR="009E0146" w:rsidRPr="009E0146">
        <w:rPr>
          <w:rFonts w:eastAsiaTheme="minorEastAsia"/>
          <w:lang w:eastAsia="hr-HR"/>
        </w:rPr>
        <w:t>uputama za osobe u mu</w:t>
      </w:r>
      <w:r w:rsidR="009E0146">
        <w:rPr>
          <w:rFonts w:eastAsiaTheme="minorEastAsia"/>
          <w:lang w:eastAsia="hr-HR"/>
        </w:rPr>
        <w:t>š</w:t>
      </w:r>
      <w:r w:rsidR="009E0146" w:rsidRPr="009E0146">
        <w:rPr>
          <w:rFonts w:eastAsiaTheme="minorEastAsia"/>
          <w:lang w:eastAsia="hr-HR"/>
        </w:rPr>
        <w:t>kom rodu uporabljeni su neutralno i odnose se na mu</w:t>
      </w:r>
      <w:r w:rsidR="009E0146">
        <w:rPr>
          <w:rFonts w:eastAsiaTheme="minorEastAsia"/>
          <w:lang w:eastAsia="hr-HR"/>
        </w:rPr>
        <w:t>š</w:t>
      </w:r>
      <w:r w:rsidR="009E0146" w:rsidRPr="009E0146">
        <w:rPr>
          <w:rFonts w:eastAsiaTheme="minorEastAsia"/>
          <w:lang w:eastAsia="hr-HR"/>
        </w:rPr>
        <w:t xml:space="preserve">ke i </w:t>
      </w:r>
      <w:r w:rsidR="009E0146">
        <w:rPr>
          <w:rFonts w:eastAsiaTheme="minorEastAsia"/>
          <w:lang w:eastAsia="hr-HR"/>
        </w:rPr>
        <w:t>ž</w:t>
      </w:r>
      <w:r w:rsidR="009E0146" w:rsidRPr="009E0146">
        <w:rPr>
          <w:rFonts w:eastAsiaTheme="minorEastAsia"/>
          <w:lang w:eastAsia="hr-HR"/>
        </w:rPr>
        <w:t>enske osobe.</w:t>
      </w:r>
    </w:p>
    <w:p w14:paraId="761E82B4" w14:textId="22AB8738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Od dana objave javnog natječaja u „Narodnim novinama“ počinje teći rok od 8 dana za podnošenje</w:t>
      </w:r>
    </w:p>
    <w:p w14:paraId="287D2161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prijava na javni natječaj</w:t>
      </w:r>
      <w:r>
        <w:rPr>
          <w:rFonts w:eastAsiaTheme="minorEastAsia"/>
          <w:lang w:eastAsia="hr-HR"/>
        </w:rPr>
        <w:t>.</w:t>
      </w:r>
    </w:p>
    <w:p w14:paraId="0BD849BA" w14:textId="4688E30E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 xml:space="preserve">Prijava je podnesena u roku ako je prije isteka roka zaprimljena u pisarnici </w:t>
      </w:r>
      <w:r w:rsidRPr="008B6002">
        <w:rPr>
          <w:rFonts w:eastAsia="Times New Roman"/>
          <w:lang w:eastAsia="hr-HR"/>
        </w:rPr>
        <w:t>Općine Lopar, 51 281 Lopar, Lopar 289 A</w:t>
      </w:r>
      <w:r w:rsidRPr="008B6002">
        <w:rPr>
          <w:rFonts w:eastAsiaTheme="minorEastAsia"/>
          <w:lang w:eastAsia="hr-HR"/>
        </w:rPr>
        <w:t>, a ako je prijava upućena poštom preporučeno ili predana ovlaštenom pružatelju poštanskih usluga kao preporučena pošiljka, dan predaje pošti,</w:t>
      </w:r>
      <w:r>
        <w:rPr>
          <w:rFonts w:eastAsiaTheme="minorEastAsia"/>
          <w:lang w:eastAsia="hr-HR"/>
        </w:rPr>
        <w:t xml:space="preserve"> </w:t>
      </w:r>
      <w:r w:rsidRPr="008B6002">
        <w:rPr>
          <w:rFonts w:eastAsiaTheme="minorEastAsia"/>
          <w:lang w:eastAsia="hr-HR"/>
        </w:rPr>
        <w:t>odnosno ovlaštenom pružatelju poštanskih usluga smatra se danom predaje javnopravnom tijelu kojem je upućena.</w:t>
      </w:r>
    </w:p>
    <w:p w14:paraId="0C7B7817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52BDDE4A" w14:textId="152CE400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Opis poslova radnog mjesta</w:t>
      </w:r>
      <w:r w:rsidR="00F30BF7">
        <w:rPr>
          <w:rFonts w:eastAsiaTheme="minorEastAsia"/>
          <w:b/>
          <w:bCs/>
          <w:lang w:eastAsia="hr-HR"/>
        </w:rPr>
        <w:t xml:space="preserve"> -</w:t>
      </w:r>
      <w:r w:rsidRPr="008B6002">
        <w:rPr>
          <w:rFonts w:eastAsiaTheme="minorEastAsia"/>
          <w:b/>
          <w:bCs/>
          <w:lang w:eastAsia="hr-HR"/>
        </w:rPr>
        <w:t xml:space="preserve"> </w:t>
      </w:r>
      <w:r w:rsidR="009E0146" w:rsidRPr="009E0146">
        <w:rPr>
          <w:rFonts w:eastAsiaTheme="minorEastAsia"/>
          <w:b/>
          <w:bCs/>
          <w:lang w:eastAsia="hr-HR"/>
        </w:rPr>
        <w:t xml:space="preserve">viši </w:t>
      </w:r>
      <w:r w:rsidR="0057199F">
        <w:rPr>
          <w:rFonts w:eastAsiaTheme="minorEastAsia"/>
          <w:b/>
          <w:bCs/>
          <w:lang w:eastAsia="hr-HR"/>
        </w:rPr>
        <w:t>referent – komunalni redar i prometni redar</w:t>
      </w:r>
    </w:p>
    <w:tbl>
      <w:tblPr>
        <w:tblW w:w="8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57199F" w:rsidRPr="0057199F" w14:paraId="3039592B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64F4" w14:textId="77777777" w:rsidR="0057199F" w:rsidRPr="0057199F" w:rsidRDefault="0057199F" w:rsidP="0057199F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provodi Odluku o komunalnom redu (utvrđuje stanje komunalnog reda zapisnikom na licu mjesta, naređuje fizičkim i pravnim osobama radnje u svrhu održavanja komunalnog reda, nalaže izdavanje obveznih prekršajnih naloga i predlaže pokretanje prekršajnih postupaka, izriče i naplaćuje novčane kazne osobama zatečenim u prekršaju), radi sa strankama po predmetima iz djelokruga svoga rada te sastavlja zapisnike i službene bilješke</w:t>
            </w:r>
          </w:p>
        </w:tc>
      </w:tr>
      <w:tr w:rsidR="0057199F" w:rsidRPr="0057199F" w14:paraId="35251178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900E" w14:textId="77777777" w:rsidR="0057199F" w:rsidRPr="0057199F" w:rsidRDefault="0057199F" w:rsidP="0057199F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lastRenderedPageBreak/>
              <w:t>obavlja poslove sukladno Zakonu o građevinskoj inspekciji, surađuje s nadležnim inspekcijskim službama (građevinska, vodopravna, sanitarna, gospodarska i sl.)</w:t>
            </w:r>
          </w:p>
        </w:tc>
      </w:tr>
      <w:tr w:rsidR="0057199F" w:rsidRPr="0057199F" w14:paraId="7545EDBC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F17F" w14:textId="77777777" w:rsidR="0057199F" w:rsidRPr="0057199F" w:rsidRDefault="0057199F" w:rsidP="0057199F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obavlja nadzor nad poslovima čišćenja javnih površina i plaža te poslovima održavanja zelenih površina i površina koje utječu na izgled mjesta te poduzima mjere za otklanjanje utvrđenih problema, nepravilnosti ili oštećenja u okviru svojih ovlaštenja (u suradnji s mjesnim odborima izrađuje planove čišćenja javnih površina i plaža), vrši nadzor nad poslovima orezivanja zelenila uz prometnice te izrađuje plan njihova košenja i orezivanja</w:t>
            </w:r>
          </w:p>
        </w:tc>
      </w:tr>
      <w:tr w:rsidR="0057199F" w:rsidRPr="0057199F" w14:paraId="174468A8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31F2" w14:textId="77777777" w:rsidR="0057199F" w:rsidRPr="0057199F" w:rsidRDefault="0057199F" w:rsidP="0057199F">
            <w:pPr>
              <w:spacing w:after="33" w:line="255" w:lineRule="auto"/>
              <w:ind w:right="1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provodi Plan upravljanja otpadom i izrađuje godišnje izvješće</w:t>
            </w:r>
          </w:p>
        </w:tc>
      </w:tr>
      <w:tr w:rsidR="0057199F" w:rsidRPr="0057199F" w14:paraId="208BC4AA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A5F6" w14:textId="77777777" w:rsidR="0057199F" w:rsidRPr="0057199F" w:rsidRDefault="0057199F" w:rsidP="0057199F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vrši nadzor skupljanja, odvoza i deponiranja glomaznog otpada, zemlje i drugih iskopa</w:t>
            </w:r>
          </w:p>
        </w:tc>
      </w:tr>
      <w:tr w:rsidR="0057199F" w:rsidRPr="0057199F" w14:paraId="1D87F46E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6F52" w14:textId="77777777" w:rsidR="0057199F" w:rsidRPr="0057199F" w:rsidRDefault="0057199F" w:rsidP="0057199F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vrši nadzor nad poslovima održavanja oborinskih kanala i izrađuje plan njihova čišćenja</w:t>
            </w:r>
          </w:p>
        </w:tc>
      </w:tr>
      <w:tr w:rsidR="0057199F" w:rsidRPr="0057199F" w14:paraId="3FB32BF6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E7E5" w14:textId="77777777" w:rsidR="0057199F" w:rsidRPr="0057199F" w:rsidRDefault="0057199F" w:rsidP="0057199F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koordinira provedbu DDD mjera i veterinarsko higijeničarskog servisa</w:t>
            </w:r>
          </w:p>
        </w:tc>
      </w:tr>
      <w:tr w:rsidR="0057199F" w:rsidRPr="0057199F" w14:paraId="65EB4D26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6424" w14:textId="77777777" w:rsidR="0057199F" w:rsidRPr="0057199F" w:rsidRDefault="0057199F" w:rsidP="0057199F">
            <w:pPr>
              <w:spacing w:after="33" w:line="255" w:lineRule="auto"/>
              <w:ind w:right="1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 slučaju nastalih šteta na imovini Općine podnosi prijavu i o tome vodi evidenciju, vodi evidenciju mjerila za potrošnju vode i električne energije na javnim površinama te objektima u vlasništvu Općine (izuzev javne rasvjete), brine o grijanju i tekućem održavanju poslovne zgrade i pratećih objekata, uređaja i opreme</w:t>
            </w:r>
          </w:p>
        </w:tc>
      </w:tr>
      <w:tr w:rsidR="0057199F" w:rsidRPr="0057199F" w14:paraId="44AF4CAB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985A" w14:textId="77777777" w:rsidR="0057199F" w:rsidRPr="0057199F" w:rsidRDefault="0057199F" w:rsidP="0057199F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naplaćuje novčane kazne za nepropisno zaustavljena i parkirana vozila, odnosno izdaje obavezni prekršajni nalog sukladno zakonu</w:t>
            </w:r>
          </w:p>
        </w:tc>
      </w:tr>
      <w:tr w:rsidR="0057199F" w:rsidRPr="0057199F" w14:paraId="5FD3AA27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2027" w14:textId="77777777" w:rsidR="0057199F" w:rsidRPr="0057199F" w:rsidRDefault="0057199F" w:rsidP="0057199F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obavlja poslove povezane s uređenjem prometa na području Općine, izrađuje koncepciju razvoja i regulacije prometa sukladno dokumentima prostornog uređenja</w:t>
            </w:r>
          </w:p>
        </w:tc>
      </w:tr>
      <w:tr w:rsidR="0057199F" w:rsidRPr="0057199F" w14:paraId="31F17D06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74FB" w14:textId="77777777" w:rsidR="0057199F" w:rsidRPr="0057199F" w:rsidRDefault="0057199F" w:rsidP="0057199F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izrađuje plan rada zimske službe i koordinira rad izvođača na uklanjanju snijega i leda s javnih površina na području Općine</w:t>
            </w:r>
          </w:p>
        </w:tc>
      </w:tr>
      <w:tr w:rsidR="0057199F" w:rsidRPr="0057199F" w14:paraId="7CBD38A3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2247" w14:textId="77777777" w:rsidR="0057199F" w:rsidRPr="0057199F" w:rsidRDefault="0057199F" w:rsidP="0057199F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vrši nadzor nad poslovima održavanja javne rasvjete te predlaže lokacije i ulice koje je potrebno osvijetliti u cilju sigurnosti prometa pješaka i vozila</w:t>
            </w:r>
          </w:p>
        </w:tc>
      </w:tr>
      <w:tr w:rsidR="0057199F" w:rsidRPr="0057199F" w14:paraId="5DB7D4CC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BE74" w14:textId="77777777" w:rsidR="0057199F" w:rsidRPr="0057199F" w:rsidRDefault="0057199F" w:rsidP="0057199F">
            <w:pPr>
              <w:spacing w:after="33" w:line="255" w:lineRule="auto"/>
              <w:ind w:right="1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vodi brigu o voznom parku u vlasništvu Općine</w:t>
            </w:r>
          </w:p>
        </w:tc>
      </w:tr>
      <w:tr w:rsidR="0057199F" w:rsidRPr="0057199F" w14:paraId="49D97598" w14:textId="77777777" w:rsidTr="0057199F">
        <w:trPr>
          <w:trHeight w:val="22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76B0" w14:textId="77777777" w:rsidR="0057199F" w:rsidRPr="0057199F" w:rsidRDefault="0057199F" w:rsidP="0057199F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199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obavlja i druge poslove po nalogu voditelja Odsjeka i pročelnika. </w:t>
            </w:r>
          </w:p>
          <w:p w14:paraId="65B5434F" w14:textId="77777777" w:rsidR="0057199F" w:rsidRPr="0057199F" w:rsidRDefault="0057199F" w:rsidP="0057199F">
            <w:pPr>
              <w:spacing w:after="33" w:line="255" w:lineRule="auto"/>
              <w:ind w:right="1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633812E" w14:textId="30EFAFDB" w:rsidR="0057199F" w:rsidRDefault="0057199F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763A3EFE" w14:textId="338F9FB1" w:rsidR="0057199F" w:rsidRDefault="0057199F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7EE283D" w14:textId="77777777" w:rsidR="0057199F" w:rsidRDefault="0057199F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106631C6" w14:textId="0ECF9CBA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Podaci o plaći</w:t>
      </w:r>
    </w:p>
    <w:p w14:paraId="4DBC554D" w14:textId="77777777" w:rsidR="008B6002" w:rsidRPr="008B6002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</w:p>
    <w:p w14:paraId="47FA0843" w14:textId="016C0A6A" w:rsidR="00EB3030" w:rsidRDefault="00EB3030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B3030">
        <w:rPr>
          <w:rFonts w:eastAsiaTheme="minorEastAsia"/>
          <w:lang w:eastAsia="hr-HR"/>
        </w:rPr>
        <w:t>Vje</w:t>
      </w:r>
      <w:r>
        <w:rPr>
          <w:rFonts w:eastAsiaTheme="minorEastAsia"/>
          <w:lang w:eastAsia="hr-HR"/>
        </w:rPr>
        <w:t>ž</w:t>
      </w:r>
      <w:r w:rsidRPr="00EB3030">
        <w:rPr>
          <w:rFonts w:eastAsiaTheme="minorEastAsia"/>
          <w:lang w:eastAsia="hr-HR"/>
        </w:rPr>
        <w:t>benik za vrijeme vje</w:t>
      </w:r>
      <w:r>
        <w:rPr>
          <w:rFonts w:eastAsiaTheme="minorEastAsia"/>
          <w:lang w:eastAsia="hr-HR"/>
        </w:rPr>
        <w:t>ž</w:t>
      </w:r>
      <w:r w:rsidRPr="00EB3030">
        <w:rPr>
          <w:rFonts w:eastAsiaTheme="minorEastAsia"/>
          <w:lang w:eastAsia="hr-HR"/>
        </w:rPr>
        <w:t>beni</w:t>
      </w:r>
      <w:r>
        <w:rPr>
          <w:rFonts w:eastAsiaTheme="minorEastAsia"/>
          <w:lang w:eastAsia="hr-HR"/>
        </w:rPr>
        <w:t>č</w:t>
      </w:r>
      <w:r w:rsidRPr="00EB3030">
        <w:rPr>
          <w:rFonts w:eastAsiaTheme="minorEastAsia"/>
          <w:lang w:eastAsia="hr-HR"/>
        </w:rPr>
        <w:t>kog sta</w:t>
      </w:r>
      <w:r>
        <w:rPr>
          <w:rFonts w:eastAsiaTheme="minorEastAsia"/>
          <w:lang w:eastAsia="hr-HR"/>
        </w:rPr>
        <w:t>ž</w:t>
      </w:r>
      <w:r w:rsidRPr="00EB3030">
        <w:rPr>
          <w:rFonts w:eastAsiaTheme="minorEastAsia"/>
          <w:lang w:eastAsia="hr-HR"/>
        </w:rPr>
        <w:t>a ima pravo na 85</w:t>
      </w:r>
      <w:r>
        <w:rPr>
          <w:rFonts w:eastAsiaTheme="minorEastAsia"/>
          <w:lang w:eastAsia="hr-HR"/>
        </w:rPr>
        <w:t>%</w:t>
      </w:r>
      <w:r w:rsidRPr="00EB3030">
        <w:rPr>
          <w:rFonts w:eastAsiaTheme="minorEastAsia"/>
          <w:lang w:eastAsia="hr-HR"/>
        </w:rPr>
        <w:t xml:space="preserve"> pla</w:t>
      </w:r>
      <w:r>
        <w:rPr>
          <w:rFonts w:eastAsiaTheme="minorEastAsia"/>
          <w:lang w:eastAsia="hr-HR"/>
        </w:rPr>
        <w:t>ć</w:t>
      </w:r>
      <w:r w:rsidRPr="00EB3030">
        <w:rPr>
          <w:rFonts w:eastAsiaTheme="minorEastAsia"/>
          <w:lang w:eastAsia="hr-HR"/>
        </w:rPr>
        <w:t>e poslova radnog mjesta najn</w:t>
      </w:r>
      <w:r>
        <w:rPr>
          <w:rFonts w:eastAsiaTheme="minorEastAsia"/>
          <w:lang w:eastAsia="hr-HR"/>
        </w:rPr>
        <w:t>iž</w:t>
      </w:r>
      <w:r w:rsidRPr="00EB3030">
        <w:rPr>
          <w:rFonts w:eastAsiaTheme="minorEastAsia"/>
          <w:lang w:eastAsia="hr-HR"/>
        </w:rPr>
        <w:t>e slo</w:t>
      </w:r>
      <w:r>
        <w:rPr>
          <w:rFonts w:eastAsiaTheme="minorEastAsia"/>
          <w:lang w:eastAsia="hr-HR"/>
        </w:rPr>
        <w:t>ž</w:t>
      </w:r>
      <w:r w:rsidRPr="00EB3030">
        <w:rPr>
          <w:rFonts w:eastAsiaTheme="minorEastAsia"/>
          <w:lang w:eastAsia="hr-HR"/>
        </w:rPr>
        <w:t>enosti njegove stru</w:t>
      </w:r>
      <w:r>
        <w:rPr>
          <w:rFonts w:eastAsiaTheme="minorEastAsia"/>
          <w:lang w:eastAsia="hr-HR"/>
        </w:rPr>
        <w:t>č</w:t>
      </w:r>
      <w:r w:rsidRPr="00EB3030">
        <w:rPr>
          <w:rFonts w:eastAsiaTheme="minorEastAsia"/>
          <w:lang w:eastAsia="hr-HR"/>
        </w:rPr>
        <w:t xml:space="preserve">ne spreme. </w:t>
      </w:r>
    </w:p>
    <w:p w14:paraId="5D9CC168" w14:textId="6440C0D5" w:rsidR="008B6002" w:rsidRPr="00B67039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 xml:space="preserve">Koeficijent složenosti poslova radnog mjesta </w:t>
      </w:r>
      <w:r w:rsidR="00EB3030">
        <w:rPr>
          <w:rFonts w:eastAsiaTheme="minorEastAsia"/>
          <w:lang w:eastAsia="hr-HR"/>
        </w:rPr>
        <w:t xml:space="preserve">viši </w:t>
      </w:r>
      <w:r w:rsidR="008156E2">
        <w:rPr>
          <w:rFonts w:eastAsiaTheme="minorEastAsia"/>
          <w:lang w:eastAsia="hr-HR"/>
        </w:rPr>
        <w:t>referent</w:t>
      </w:r>
      <w:r w:rsidRPr="00B67039">
        <w:rPr>
          <w:rFonts w:eastAsiaTheme="minorEastAsia"/>
          <w:lang w:eastAsia="hr-HR"/>
        </w:rPr>
        <w:t xml:space="preserve"> je </w:t>
      </w:r>
      <w:r w:rsidR="00B67039" w:rsidRPr="00B67039">
        <w:rPr>
          <w:rFonts w:eastAsiaTheme="minorEastAsia"/>
          <w:lang w:eastAsia="hr-HR"/>
        </w:rPr>
        <w:t>2,</w:t>
      </w:r>
      <w:r w:rsidR="0057199F">
        <w:rPr>
          <w:rFonts w:eastAsiaTheme="minorEastAsia"/>
          <w:lang w:eastAsia="hr-HR"/>
        </w:rPr>
        <w:t>4</w:t>
      </w:r>
      <w:r w:rsidR="00EB3030">
        <w:rPr>
          <w:rFonts w:eastAsiaTheme="minorEastAsia"/>
          <w:lang w:eastAsia="hr-HR"/>
        </w:rPr>
        <w:t>2</w:t>
      </w:r>
      <w:r w:rsidR="00B67039" w:rsidRPr="00B67039">
        <w:rPr>
          <w:rFonts w:eastAsiaTheme="minorEastAsia"/>
          <w:lang w:eastAsia="hr-HR"/>
        </w:rPr>
        <w:t xml:space="preserve"> </w:t>
      </w:r>
      <w:r w:rsidRPr="00B67039">
        <w:rPr>
          <w:rFonts w:eastAsiaTheme="minorEastAsia"/>
          <w:lang w:eastAsia="hr-HR"/>
        </w:rPr>
        <w:t xml:space="preserve">utvrđen temeljem članka </w:t>
      </w:r>
      <w:r w:rsidR="00B67039" w:rsidRPr="00B67039">
        <w:rPr>
          <w:rFonts w:eastAsiaTheme="minorEastAsia"/>
          <w:lang w:eastAsia="hr-HR"/>
        </w:rPr>
        <w:t>3</w:t>
      </w:r>
      <w:r w:rsidRPr="00B67039">
        <w:rPr>
          <w:rFonts w:eastAsiaTheme="minorEastAsia"/>
          <w:lang w:eastAsia="hr-HR"/>
        </w:rPr>
        <w:t>. Odluke o koeficijentima za obračun plaća službenika i namještenik</w:t>
      </w:r>
      <w:r w:rsidR="00B67039" w:rsidRPr="00B67039">
        <w:rPr>
          <w:rFonts w:eastAsiaTheme="minorEastAsia"/>
          <w:lang w:eastAsia="hr-HR"/>
        </w:rPr>
        <w:t>a</w:t>
      </w:r>
      <w:r w:rsidRPr="00B67039">
        <w:rPr>
          <w:rFonts w:eastAsiaTheme="minorEastAsia"/>
          <w:lang w:eastAsia="hr-HR"/>
        </w:rPr>
        <w:t xml:space="preserve"> Općine </w:t>
      </w:r>
      <w:r w:rsidR="00B67039" w:rsidRPr="00B67039">
        <w:rPr>
          <w:rFonts w:eastAsiaTheme="minorEastAsia"/>
          <w:lang w:eastAsia="hr-HR"/>
        </w:rPr>
        <w:t>Lopar</w:t>
      </w:r>
      <w:r w:rsidRPr="00B67039">
        <w:rPr>
          <w:rFonts w:eastAsiaTheme="minorEastAsia"/>
          <w:lang w:eastAsia="hr-HR"/>
        </w:rPr>
        <w:t xml:space="preserve"> </w:t>
      </w:r>
      <w:r w:rsidR="00B67039" w:rsidRPr="00B67039">
        <w:rPr>
          <w:rFonts w:eastAsiaTheme="minorEastAsia"/>
          <w:lang w:eastAsia="hr-HR"/>
        </w:rPr>
        <w:t>(“Službene novine Primorsko-goranske županije”, broj 3</w:t>
      </w:r>
      <w:r w:rsidR="00B67039">
        <w:rPr>
          <w:rFonts w:eastAsiaTheme="minorEastAsia"/>
          <w:lang w:eastAsia="hr-HR"/>
        </w:rPr>
        <w:t>3</w:t>
      </w:r>
      <w:r w:rsidR="00B67039" w:rsidRPr="00B67039">
        <w:rPr>
          <w:rFonts w:eastAsiaTheme="minorEastAsia"/>
          <w:lang w:eastAsia="hr-HR"/>
        </w:rPr>
        <w:t>/22.)</w:t>
      </w:r>
    </w:p>
    <w:p w14:paraId="6B7CE824" w14:textId="5D408F56" w:rsidR="008B6002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 xml:space="preserve">Osnovica za obračun plaće utvrđena </w:t>
      </w:r>
      <w:r w:rsidR="00B67039" w:rsidRPr="00B67039">
        <w:rPr>
          <w:rFonts w:eastAsiaTheme="minorEastAsia"/>
          <w:lang w:eastAsia="hr-HR"/>
        </w:rPr>
        <w:t>Odlukom o osnovici za obračun plaće službenika i namještenika (Službene novine Primorsko-goranske županije, br. 29/14) i Izmjene i dopune Odlukom o osnovici za obračun plaće službenika i namještenika (Službene novine Primorsko-</w:t>
      </w:r>
      <w:r w:rsidR="00B67039" w:rsidRPr="00B67039">
        <w:rPr>
          <w:rFonts w:eastAsiaTheme="minorEastAsia"/>
          <w:lang w:eastAsia="hr-HR"/>
        </w:rPr>
        <w:lastRenderedPageBreak/>
        <w:t xml:space="preserve">goranske županije, br. 35/22). </w:t>
      </w:r>
      <w:r w:rsidRPr="00B67039">
        <w:rPr>
          <w:rFonts w:eastAsiaTheme="minorEastAsia"/>
          <w:lang w:eastAsia="hr-HR"/>
        </w:rPr>
        <w:t>i iznosi</w:t>
      </w:r>
      <w:r w:rsidR="00B67039" w:rsidRPr="00B670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67039" w:rsidRPr="00B67039">
        <w:rPr>
          <w:rFonts w:eastAsiaTheme="minorEastAsia"/>
          <w:lang w:eastAsia="hr-HR"/>
        </w:rPr>
        <w:t xml:space="preserve">4.221,76 kuna bruto (560,32 EUR po fiksnom tečaju konverzije 7,53450 HRK)“ u </w:t>
      </w:r>
      <w:r w:rsidRPr="00B67039">
        <w:rPr>
          <w:rFonts w:eastAsiaTheme="minorEastAsia"/>
          <w:lang w:eastAsia="hr-HR"/>
        </w:rPr>
        <w:t>bruto iznosu.</w:t>
      </w:r>
    </w:p>
    <w:p w14:paraId="3EDD4A25" w14:textId="77777777" w:rsidR="00B67039" w:rsidRPr="00B67039" w:rsidRDefault="00B67039" w:rsidP="00B670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31E29647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Prethodna provjera znanja i sposobnosti obuhvaća:</w:t>
      </w:r>
    </w:p>
    <w:p w14:paraId="5CABFC88" w14:textId="77777777" w:rsidR="008B6002" w:rsidRPr="00B67039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>• pisano testiranje,</w:t>
      </w:r>
    </w:p>
    <w:p w14:paraId="24CEAFC2" w14:textId="4B8EC5ED" w:rsidR="008B6002" w:rsidRPr="002939EE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>• intervju s kandidatima koji su ostvarili najmanje 50% bodova na provedenom pisanom</w:t>
      </w:r>
      <w:r w:rsidR="002939EE">
        <w:rPr>
          <w:rFonts w:eastAsiaTheme="minorEastAsia"/>
          <w:lang w:eastAsia="hr-HR"/>
        </w:rPr>
        <w:t xml:space="preserve"> t</w:t>
      </w:r>
      <w:r w:rsidRPr="00B67039">
        <w:rPr>
          <w:rFonts w:eastAsiaTheme="minorEastAsia"/>
          <w:lang w:eastAsia="hr-HR"/>
        </w:rPr>
        <w:t>estiranju</w:t>
      </w:r>
    </w:p>
    <w:p w14:paraId="18030F62" w14:textId="77777777" w:rsidR="00B67039" w:rsidRPr="008B6002" w:rsidRDefault="00B67039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8397833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Pravni i drugi izvori za pripremanje kandidata za prethodnu provjeru</w:t>
      </w:r>
    </w:p>
    <w:p w14:paraId="33F01B40" w14:textId="43C046A1" w:rsidR="0001012F" w:rsidRDefault="0001012F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>
        <w:t>Zakon o općem upravnom postupku („Narodne novine“ broj 47/09 i 110/21),</w:t>
      </w:r>
    </w:p>
    <w:p w14:paraId="7AE47B4A" w14:textId="3FCFB7EA" w:rsidR="0001012F" w:rsidRDefault="0001012F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>
        <w:t xml:space="preserve">Zakon o komunalnom gospodarstvu </w:t>
      </w:r>
      <w:bookmarkStart w:id="2" w:name="_Hlk128376568"/>
      <w:r>
        <w:t xml:space="preserve">(„Narodne novine“ broj </w:t>
      </w:r>
      <w:bookmarkEnd w:id="2"/>
      <w:r>
        <w:t>68/18, 110/18 i</w:t>
      </w:r>
      <w:r w:rsidR="00404F4A">
        <w:t xml:space="preserve"> </w:t>
      </w:r>
      <w:r>
        <w:t>32/20),</w:t>
      </w:r>
    </w:p>
    <w:p w14:paraId="08CD3EDF" w14:textId="284BDA4B" w:rsidR="0001012F" w:rsidRDefault="000C7775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 w:rsidRPr="000C7775">
        <w:t xml:space="preserve">Zakon o </w:t>
      </w:r>
      <w:r w:rsidR="008156E2">
        <w:t>gospodarenju otpadom</w:t>
      </w:r>
      <w:r>
        <w:t xml:space="preserve"> </w:t>
      </w:r>
      <w:r w:rsidRPr="000C7775">
        <w:t xml:space="preserve">(„Narodne novine“ </w:t>
      </w:r>
      <w:r w:rsidR="008156E2">
        <w:t>84/21</w:t>
      </w:r>
      <w:r>
        <w:t>)</w:t>
      </w:r>
    </w:p>
    <w:p w14:paraId="165F8D5A" w14:textId="4374A759" w:rsidR="000C7775" w:rsidRPr="000C7775" w:rsidRDefault="000C7775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 w:rsidRPr="000C7775">
        <w:t>Zakon o poljoprivrednom zemljištu (NN 20/18, 115/18, 98/19</w:t>
      </w:r>
      <w:r>
        <w:t xml:space="preserve"> i 57/22</w:t>
      </w:r>
      <w:r w:rsidRPr="000C7775">
        <w:t>)</w:t>
      </w:r>
    </w:p>
    <w:p w14:paraId="2BA0725B" w14:textId="75FC4A26" w:rsidR="008B6002" w:rsidRPr="000C7775" w:rsidRDefault="0001012F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>
        <w:t>Statut Općine Lopar („Službeni novine Primorsko-goranske županije“ broj 05/21 i 33/22).</w:t>
      </w:r>
    </w:p>
    <w:p w14:paraId="60E34A4B" w14:textId="77777777" w:rsidR="002939EE" w:rsidRDefault="002939EE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573B611" w14:textId="218A3688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 xml:space="preserve">Napomena: </w:t>
      </w:r>
      <w:r w:rsidRPr="002939EE">
        <w:rPr>
          <w:rFonts w:eastAsiaTheme="minorEastAsia"/>
          <w:lang w:eastAsia="hr-HR"/>
        </w:rPr>
        <w:t>pravni izvori za pripremanje kandidata za prethodnu provjeru su i sve možebitne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izmjene i dopune propisa iz ove točke, a koje će stupiti na snagu nakon objave Natječaja.</w:t>
      </w:r>
    </w:p>
    <w:p w14:paraId="77DDECCA" w14:textId="00A33DDF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Način obavljanja prethodne provjere znanja i sposobnosti kandidata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Prethodnoj provjeri znanja i sposobnosti mogu pristupiti samo kandidati koji ispunjavaju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formalne uvjete iz Natječaja.</w:t>
      </w:r>
    </w:p>
    <w:p w14:paraId="6D74362B" w14:textId="59E47F74" w:rsidR="008B6002" w:rsidRPr="008B6002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  <w:r w:rsidRPr="002939EE">
        <w:rPr>
          <w:rFonts w:eastAsiaTheme="minorEastAsia"/>
          <w:lang w:eastAsia="hr-HR"/>
        </w:rPr>
        <w:t>Smatra se da je kandidat, koji nije pristupio prethodnoj provjeri znanja i sposobnosti, povukao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prijavu na Natječaj.</w:t>
      </w:r>
    </w:p>
    <w:p w14:paraId="0BA8E335" w14:textId="2242EC51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Po dolasku na prethodnu provjeru znanja i sposobnosti od kandidata će se zatražiti predočenje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odgovarajuće isprave (osobne iskaznice) radi utvrđivanja identiteta. Kandidati koji ne mogu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dokazati identitet ne mogu pristupiti prethodnoj provjeri.</w:t>
      </w:r>
    </w:p>
    <w:p w14:paraId="69211D60" w14:textId="77777777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Nakon utvrđivanja identiteta kandidata, prethodna provjera znanja i sposobnosti započinje</w:t>
      </w:r>
    </w:p>
    <w:p w14:paraId="3670E3C3" w14:textId="77777777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pisanim testiranjem. Kandidatima će biti podijeljena pitanja za provjeru znanja.</w:t>
      </w:r>
    </w:p>
    <w:p w14:paraId="292CC2B7" w14:textId="088C3964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Pisani test sastojati će se od ukupno 20 pitanja. Svaki točan odgovor nosi 1 bod. Maksimalan broj bodova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koji kandidat može ostvariti na pisanom testiranju je 20.</w:t>
      </w:r>
    </w:p>
    <w:p w14:paraId="568630E7" w14:textId="2C3AFCC5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Na pisanom testiranju nije dozvoljeno koristiti se literaturom i zabilješkama, napuštati prostoriju,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razgovarati s ostalim kandidatima niti na bilo koji drugi način remetiti koncentraciju kandidata, a mobitel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je potrebno isključiti.</w:t>
      </w:r>
    </w:p>
    <w:p w14:paraId="60EC7984" w14:textId="605B8682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Ukoliko pojedini kandidat prekrši naprijed navedena pravila biti će udaljen s provjere znanja, 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njegov/njezin rezultat Povjerenstvo neće priznati niti ocjenjivati. Kandidati koji će moći pristupiti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intervjuu, bit će o tome obaviješteni.</w:t>
      </w:r>
    </w:p>
    <w:p w14:paraId="6AFEB18A" w14:textId="7A0D889D" w:rsidR="008B6002" w:rsidRPr="002939EE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Intervju se provodi samo s kandidatima koji su ostvarili najmanje 50% bodova na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provedenom testiranju.</w:t>
      </w:r>
    </w:p>
    <w:p w14:paraId="39B47DD3" w14:textId="1412750B" w:rsidR="008B6002" w:rsidRPr="00E67FA7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Povjerenstvo za provedbu natječaja kroz intervju s kandidatima utvrđuje snalažljivost, komunikativnost,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 xml:space="preserve">kreativnost, profesionalne ciljeve i motivaciju za rad u Općini </w:t>
      </w:r>
      <w:r w:rsidR="002939EE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>. Rezultati intervjua boduju se od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1 do 10 bodova.</w:t>
      </w:r>
    </w:p>
    <w:p w14:paraId="0F1D9984" w14:textId="429F8196" w:rsidR="008B6002" w:rsidRPr="00E67FA7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 xml:space="preserve">Nakon provedenog postupka, Povjerenstvo će sastaviti Izvješće o provedenom postupku te utvrditi </w:t>
      </w:r>
      <w:r w:rsidRPr="00E67FA7">
        <w:rPr>
          <w:rFonts w:eastAsiaTheme="minorEastAsia"/>
          <w:lang w:eastAsia="hr-HR"/>
        </w:rPr>
        <w:lastRenderedPageBreak/>
        <w:t>rang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listu kandidata prema ukupnom broju ostvarenih bodova na pisanom testiranju i intervjuu. Povjerenstvo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 xml:space="preserve">potom dostavlja Izvješće pročelniku Upravnog odjela za </w:t>
      </w:r>
      <w:r w:rsidR="008156E2">
        <w:rPr>
          <w:rFonts w:eastAsiaTheme="minorEastAsia"/>
          <w:lang w:eastAsia="hr-HR"/>
        </w:rPr>
        <w:t xml:space="preserve"> financije i komunalni sustav </w:t>
      </w:r>
      <w:r w:rsidRPr="00E67FA7">
        <w:rPr>
          <w:rFonts w:eastAsiaTheme="minorEastAsia"/>
          <w:lang w:eastAsia="hr-HR"/>
        </w:rPr>
        <w:t xml:space="preserve">Općine </w:t>
      </w:r>
      <w:r w:rsidR="002939EE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>.</w:t>
      </w:r>
    </w:p>
    <w:p w14:paraId="7D971811" w14:textId="77777777" w:rsidR="008B6002" w:rsidRPr="00E67FA7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Vrijeme trajanja testiranja 60 minuta.</w:t>
      </w:r>
    </w:p>
    <w:p w14:paraId="5208726E" w14:textId="724B7329" w:rsidR="008B6002" w:rsidRPr="00E67FA7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 xml:space="preserve">Mjesto testiranja je u zgradi Općine </w:t>
      </w:r>
      <w:r w:rsidR="002939EE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 xml:space="preserve"> na adresi </w:t>
      </w:r>
      <w:r w:rsidR="00E67FA7" w:rsidRPr="00E67FA7">
        <w:rPr>
          <w:rFonts w:eastAsiaTheme="minorEastAsia"/>
          <w:lang w:eastAsia="hr-HR"/>
        </w:rPr>
        <w:t>Lopar 289 A</w:t>
      </w:r>
      <w:r w:rsidRPr="00E67FA7">
        <w:rPr>
          <w:rFonts w:eastAsiaTheme="minorEastAsia"/>
          <w:lang w:eastAsia="hr-HR"/>
        </w:rPr>
        <w:t xml:space="preserve">, </w:t>
      </w:r>
      <w:r w:rsidR="00E67FA7" w:rsidRPr="00E67FA7">
        <w:rPr>
          <w:rFonts w:eastAsiaTheme="minorEastAsia"/>
          <w:lang w:eastAsia="hr-HR"/>
        </w:rPr>
        <w:t>51 281 Lopar</w:t>
      </w:r>
      <w:r w:rsidRPr="00E67FA7">
        <w:rPr>
          <w:rFonts w:eastAsiaTheme="minorEastAsia"/>
          <w:lang w:eastAsia="hr-HR"/>
        </w:rPr>
        <w:t>, dok će</w:t>
      </w:r>
      <w:r w:rsidR="009E0146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 xml:space="preserve">vrijeme održavanja biti objavljeno na oglasnoj ploči Općine </w:t>
      </w:r>
      <w:r w:rsidR="00E67FA7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 xml:space="preserve"> i na internetskim stranicama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Općine, www.opcina</w:t>
      </w:r>
      <w:r w:rsidR="00E67FA7" w:rsidRPr="00E67FA7">
        <w:rPr>
          <w:rFonts w:eastAsiaTheme="minorEastAsia"/>
          <w:lang w:eastAsia="hr-HR"/>
        </w:rPr>
        <w:t>-lopar</w:t>
      </w:r>
      <w:r w:rsidRPr="00E67FA7">
        <w:rPr>
          <w:rFonts w:eastAsiaTheme="minorEastAsia"/>
          <w:lang w:eastAsia="hr-HR"/>
        </w:rPr>
        <w:t>.hr, najmanje 5 dana prije testiranja.</w:t>
      </w:r>
    </w:p>
    <w:p w14:paraId="291ACA24" w14:textId="77777777" w:rsidR="008B6002" w:rsidRPr="008B6002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Ostale upute:</w:t>
      </w:r>
    </w:p>
    <w:p w14:paraId="2FB7DBE9" w14:textId="54BF286E" w:rsidR="008B6002" w:rsidRPr="00E67FA7" w:rsidRDefault="008B6002" w:rsidP="002F1D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Podnositelji prijava dužni su u prijavi priložiti sve priloge i podatke naznačene u javnom natječaju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i to u obliku navedenom u natječaju budući da manjak samo jedne isprave ili dostava jedne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isprave u obliku koji nije naveden u natječaju isključuje podnositelja iz statusa kandidata. Ukoliko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podnositelj prijave utvrdi da je potrebno dopuniti prijavu koja je već podnijeta, to je moguće učiniti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zaključno do isteka roka u natječaju. Nadalje, prijave kandidata koji ne ispunjavaju formalne uvjete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za prijam u službu navedene u natječaju ne upućuju se u daljnji postupak provjere znanja i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sposobnosti i o tome će se podnositelj prijave o obavijestiti pisanim putem.</w:t>
      </w:r>
    </w:p>
    <w:p w14:paraId="2106E0F5" w14:textId="77777777" w:rsidR="00B67039" w:rsidRDefault="00B67039" w:rsidP="00B670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</w:p>
    <w:p w14:paraId="29977151" w14:textId="73E3EEE7" w:rsidR="0041375B" w:rsidRPr="00E62956" w:rsidRDefault="00B67039" w:rsidP="00E6295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  <w:r w:rsidRPr="00B67039">
        <w:rPr>
          <w:rFonts w:eastAsiaTheme="minorEastAsia"/>
          <w:b/>
          <w:bCs/>
          <w:lang w:eastAsia="hr-HR"/>
        </w:rPr>
        <w:t>Povjerenstvo za provedbu natječaja</w:t>
      </w:r>
    </w:p>
    <w:sectPr w:rsidR="0041375B" w:rsidRPr="00E62956"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9CF5" w14:textId="77777777" w:rsidR="001C3BE8" w:rsidRDefault="001C3BE8">
      <w:pPr>
        <w:spacing w:after="0" w:line="240" w:lineRule="auto"/>
      </w:pPr>
      <w:r>
        <w:separator/>
      </w:r>
    </w:p>
  </w:endnote>
  <w:endnote w:type="continuationSeparator" w:id="0">
    <w:p w14:paraId="708E6D14" w14:textId="77777777" w:rsidR="001C3BE8" w:rsidRDefault="001C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7054" w14:textId="77777777" w:rsidR="00745D78" w:rsidRDefault="00D93CC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46A39">
      <w:rPr>
        <w:noProof/>
      </w:rPr>
      <w:t>4</w:t>
    </w:r>
    <w:r>
      <w:fldChar w:fldCharType="end"/>
    </w:r>
  </w:p>
  <w:p w14:paraId="501022D4" w14:textId="77777777" w:rsidR="00745D78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3631" w14:textId="77777777" w:rsidR="001C3BE8" w:rsidRDefault="001C3BE8">
      <w:pPr>
        <w:spacing w:after="0" w:line="240" w:lineRule="auto"/>
      </w:pPr>
      <w:r>
        <w:separator/>
      </w:r>
    </w:p>
  </w:footnote>
  <w:footnote w:type="continuationSeparator" w:id="0">
    <w:p w14:paraId="08503903" w14:textId="77777777" w:rsidR="001C3BE8" w:rsidRDefault="001C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DFC68E1"/>
    <w:multiLevelType w:val="hybridMultilevel"/>
    <w:tmpl w:val="8292A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4B0A7227"/>
    <w:multiLevelType w:val="hybridMultilevel"/>
    <w:tmpl w:val="0EDA1A24"/>
    <w:lvl w:ilvl="0" w:tplc="A7E6B97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A2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DA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8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3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ECB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D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31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EB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6360CE"/>
    <w:multiLevelType w:val="hybridMultilevel"/>
    <w:tmpl w:val="30406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4265"/>
    <w:multiLevelType w:val="hybridMultilevel"/>
    <w:tmpl w:val="BE86B0A0"/>
    <w:lvl w:ilvl="0" w:tplc="6B24D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0297916">
    <w:abstractNumId w:val="0"/>
  </w:num>
  <w:num w:numId="2" w16cid:durableId="405802924">
    <w:abstractNumId w:val="5"/>
  </w:num>
  <w:num w:numId="3" w16cid:durableId="1514420980">
    <w:abstractNumId w:val="2"/>
  </w:num>
  <w:num w:numId="4" w16cid:durableId="1542858239">
    <w:abstractNumId w:val="3"/>
  </w:num>
  <w:num w:numId="5" w16cid:durableId="2019961008">
    <w:abstractNumId w:val="1"/>
  </w:num>
  <w:num w:numId="6" w16cid:durableId="51005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67"/>
    <w:rsid w:val="0001012F"/>
    <w:rsid w:val="00016016"/>
    <w:rsid w:val="000750FD"/>
    <w:rsid w:val="000853F7"/>
    <w:rsid w:val="000B0FB9"/>
    <w:rsid w:val="000C7775"/>
    <w:rsid w:val="001A60DD"/>
    <w:rsid w:val="001C0D54"/>
    <w:rsid w:val="001C3BE8"/>
    <w:rsid w:val="002224E7"/>
    <w:rsid w:val="00260745"/>
    <w:rsid w:val="002939EE"/>
    <w:rsid w:val="002F1D93"/>
    <w:rsid w:val="00346633"/>
    <w:rsid w:val="00404F4A"/>
    <w:rsid w:val="0041375B"/>
    <w:rsid w:val="00446A39"/>
    <w:rsid w:val="004C1210"/>
    <w:rsid w:val="004F4471"/>
    <w:rsid w:val="00517984"/>
    <w:rsid w:val="00544DF6"/>
    <w:rsid w:val="0056599A"/>
    <w:rsid w:val="0057199F"/>
    <w:rsid w:val="00644DE8"/>
    <w:rsid w:val="006B626F"/>
    <w:rsid w:val="006F1B55"/>
    <w:rsid w:val="00752EDC"/>
    <w:rsid w:val="00776FC7"/>
    <w:rsid w:val="008156E2"/>
    <w:rsid w:val="008B6002"/>
    <w:rsid w:val="008D5290"/>
    <w:rsid w:val="008F1A48"/>
    <w:rsid w:val="00937055"/>
    <w:rsid w:val="0098393B"/>
    <w:rsid w:val="009E0146"/>
    <w:rsid w:val="00A4688A"/>
    <w:rsid w:val="00A7136D"/>
    <w:rsid w:val="00A90C01"/>
    <w:rsid w:val="00B3158D"/>
    <w:rsid w:val="00B63C16"/>
    <w:rsid w:val="00B67039"/>
    <w:rsid w:val="00B8023F"/>
    <w:rsid w:val="00BC33FD"/>
    <w:rsid w:val="00C00857"/>
    <w:rsid w:val="00C00CF7"/>
    <w:rsid w:val="00C02C4E"/>
    <w:rsid w:val="00C200D6"/>
    <w:rsid w:val="00C5367A"/>
    <w:rsid w:val="00CE6919"/>
    <w:rsid w:val="00D25EDF"/>
    <w:rsid w:val="00D35D44"/>
    <w:rsid w:val="00D55A78"/>
    <w:rsid w:val="00D93CCB"/>
    <w:rsid w:val="00DB0091"/>
    <w:rsid w:val="00DB3A80"/>
    <w:rsid w:val="00DE1B8B"/>
    <w:rsid w:val="00E02567"/>
    <w:rsid w:val="00E47129"/>
    <w:rsid w:val="00E52443"/>
    <w:rsid w:val="00E62956"/>
    <w:rsid w:val="00E67FA7"/>
    <w:rsid w:val="00EB3030"/>
    <w:rsid w:val="00EE3E9D"/>
    <w:rsid w:val="00F30BF7"/>
    <w:rsid w:val="00F7193C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192C"/>
  <w15:chartTrackingRefBased/>
  <w15:docId w15:val="{9CBCACF4-DF73-4D21-AAA8-253C177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6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E0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2567"/>
  </w:style>
  <w:style w:type="character" w:customStyle="1" w:styleId="Naslov1Char">
    <w:name w:val="Naslov 1 Char"/>
    <w:basedOn w:val="Zadanifontodlomka"/>
    <w:link w:val="Naslov1"/>
    <w:uiPriority w:val="9"/>
    <w:rsid w:val="001A6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1A60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60D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C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9B3B-8D11-498E-B7D6-CB509303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Općina Lopar 10</cp:lastModifiedBy>
  <cp:revision>4</cp:revision>
  <cp:lastPrinted>2023-02-21T13:51:00Z</cp:lastPrinted>
  <dcterms:created xsi:type="dcterms:W3CDTF">2023-03-27T08:40:00Z</dcterms:created>
  <dcterms:modified xsi:type="dcterms:W3CDTF">2023-04-21T12:43:00Z</dcterms:modified>
</cp:coreProperties>
</file>